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95AE" w14:textId="358CA5F5" w:rsidR="004B0B17" w:rsidRDefault="004B0B17" w:rsidP="004B0B17">
      <w:pPr>
        <w:rPr>
          <w:rFonts w:ascii="Arial" w:hAnsi="Arial" w:cs="Arial"/>
          <w:color w:val="0D6CB9"/>
        </w:rPr>
      </w:pPr>
      <w:bookmarkStart w:id="0" w:name="_Hlk46145104"/>
      <w:bookmarkStart w:id="1" w:name="_Hlk46474056"/>
    </w:p>
    <w:p w14:paraId="640D208E" w14:textId="77777777" w:rsidR="004B0B17" w:rsidRDefault="004B0B17" w:rsidP="004B0B17">
      <w:pPr>
        <w:pStyle w:val="Heading1"/>
        <w:rPr>
          <w:rFonts w:ascii="Arial" w:hAnsi="Arial" w:cs="Arial"/>
          <w:b/>
          <w:bCs/>
          <w:color w:val="0D6CB9"/>
        </w:rPr>
      </w:pPr>
    </w:p>
    <w:p w14:paraId="66A6DA99" w14:textId="3E556704" w:rsidR="004B0B17" w:rsidRDefault="004B0B17" w:rsidP="004B0B17">
      <w:pPr>
        <w:pStyle w:val="Heading1"/>
        <w:rPr>
          <w:rFonts w:ascii="Arial" w:eastAsia="Times New Roman" w:hAnsi="Arial" w:cs="Arial"/>
          <w:color w:val="707371"/>
          <w:shd w:val="clear" w:color="auto" w:fill="FFFFFF"/>
          <w:lang w:eastAsia="en-US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City Planning (</w:t>
      </w:r>
      <w:r w:rsidR="00853035">
        <w:rPr>
          <w:rFonts w:ascii="Arial" w:hAnsi="Arial" w:cs="Arial"/>
          <w:b/>
          <w:bCs/>
          <w:color w:val="F16038"/>
        </w:rPr>
        <w:t xml:space="preserve">Grades </w:t>
      </w:r>
      <w:r w:rsidR="00F9155B">
        <w:rPr>
          <w:rFonts w:ascii="Arial" w:hAnsi="Arial" w:cs="Arial"/>
          <w:b/>
          <w:bCs/>
          <w:color w:val="F16038"/>
        </w:rPr>
        <w:t xml:space="preserve">3, </w:t>
      </w:r>
      <w:r>
        <w:rPr>
          <w:rFonts w:ascii="Arial" w:hAnsi="Arial" w:cs="Arial"/>
          <w:b/>
          <w:bCs/>
          <w:color w:val="F16038"/>
        </w:rPr>
        <w:t>5, 7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7A402736" w14:textId="77777777" w:rsidR="00853035" w:rsidRPr="006C46E0" w:rsidRDefault="00853035" w:rsidP="00853035">
      <w:pPr>
        <w:rPr>
          <w:lang w:eastAsia="en-US"/>
        </w:rPr>
      </w:pPr>
    </w:p>
    <w:p w14:paraId="0A2D3C4E" w14:textId="77777777" w:rsidR="00853035" w:rsidRPr="000F3C67" w:rsidRDefault="00853035" w:rsidP="00853035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484096A6" w14:textId="18AFD948" w:rsidR="00853035" w:rsidRPr="00F9155B" w:rsidRDefault="00853035" w:rsidP="00F9155B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  <w:bookmarkEnd w:id="2"/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964"/>
        <w:gridCol w:w="1941"/>
        <w:gridCol w:w="1941"/>
        <w:gridCol w:w="1940"/>
        <w:gridCol w:w="2041"/>
        <w:gridCol w:w="1148"/>
      </w:tblGrid>
      <w:tr w:rsidR="00853035" w:rsidRPr="006A07E1" w14:paraId="217DD716" w14:textId="77777777" w:rsidTr="00F9155B">
        <w:trPr>
          <w:trHeight w:val="373"/>
          <w:jc w:val="center"/>
        </w:trPr>
        <w:tc>
          <w:tcPr>
            <w:tcW w:w="1964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0D6CB9"/>
            <w:vAlign w:val="center"/>
          </w:tcPr>
          <w:bookmarkEnd w:id="1"/>
          <w:p w14:paraId="37513DE2" w14:textId="4FC0E29E" w:rsidR="00853035" w:rsidRPr="002C2FA7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7863" w:type="dxa"/>
            <w:gridSpan w:val="4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</w:tcPr>
          <w:p w14:paraId="42BFE510" w14:textId="43FE4787" w:rsidR="00853035" w:rsidRPr="002C2FA7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148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56C3681C" w14:textId="17FD1326" w:rsidR="00853035" w:rsidRPr="002C2FA7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853035" w:rsidRPr="006A07E1" w14:paraId="0045EF2F" w14:textId="77777777" w:rsidTr="00F9155B">
        <w:trPr>
          <w:trHeight w:val="242"/>
          <w:jc w:val="center"/>
        </w:trPr>
        <w:tc>
          <w:tcPr>
            <w:tcW w:w="1964" w:type="dxa"/>
            <w:vMerge/>
            <w:tcBorders>
              <w:bottom w:val="single" w:sz="4" w:space="0" w:color="0D6CB9"/>
              <w:right w:val="single" w:sz="4" w:space="0" w:color="FFFFFF"/>
            </w:tcBorders>
            <w:shd w:val="clear" w:color="auto" w:fill="0D6CB9"/>
          </w:tcPr>
          <w:p w14:paraId="73B12375" w14:textId="77777777" w:rsidR="00853035" w:rsidRPr="002C2FA7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70417F"/>
          </w:tcPr>
          <w:p w14:paraId="6DAA2FBE" w14:textId="77777777" w:rsidR="00853035" w:rsidRDefault="00853035" w:rsidP="008728CA">
            <w:pPr>
              <w:tabs>
                <w:tab w:val="center" w:pos="639"/>
                <w:tab w:val="left" w:pos="112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95E09"/>
          </w:tcPr>
          <w:p w14:paraId="34F6901F" w14:textId="77777777" w:rsidR="00853035" w:rsidRPr="001E01FC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92C83E"/>
          </w:tcPr>
          <w:p w14:paraId="7203D817" w14:textId="77777777" w:rsidR="00853035" w:rsidRPr="001E01FC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ACBB"/>
          </w:tcPr>
          <w:p w14:paraId="1885DA9A" w14:textId="77777777" w:rsidR="00853035" w:rsidRPr="001E01FC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148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621FFD51" w14:textId="77777777" w:rsidR="00853035" w:rsidRPr="002C2FA7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3035" w:rsidRPr="006A07E1" w14:paraId="2E8F5A76" w14:textId="77777777" w:rsidTr="00F9155B">
        <w:trPr>
          <w:trHeight w:val="743"/>
          <w:jc w:val="center"/>
        </w:trPr>
        <w:tc>
          <w:tcPr>
            <w:tcW w:w="196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15F5A0FD" w14:textId="6CF451B5" w:rsidR="00853035" w:rsidRPr="00F9155B" w:rsidRDefault="00853035" w:rsidP="008728CA">
            <w:pPr>
              <w:spacing w:after="0" w:line="240" w:lineRule="auto"/>
              <w:rPr>
                <w:rFonts w:ascii="Arial" w:hAnsi="Arial" w:cs="Arial"/>
                <w:b/>
                <w:bCs/>
                <w:color w:val="E95F07"/>
                <w:sz w:val="24"/>
                <w:szCs w:val="24"/>
              </w:rPr>
            </w:pPr>
            <w:bookmarkStart w:id="3" w:name="_Hlk45723878"/>
            <w:r w:rsidRPr="00F9155B"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  <w:t>COLABORACCIÓN</w:t>
            </w:r>
          </w:p>
        </w:tc>
        <w:tc>
          <w:tcPr>
            <w:tcW w:w="1941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0B2DC542" w14:textId="24DC0BBF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eastAsiaTheme="minorEastAsia" w:hAnsi="Arial" w:cs="Arial"/>
                <w:color w:val="E95F07"/>
                <w:sz w:val="18"/>
                <w:szCs w:val="18"/>
                <w:lang w:val="es-ES"/>
              </w:rPr>
              <w:t xml:space="preserve">El diseño cuenta con elementos aportados por todos los miembros del equipo. </w:t>
            </w:r>
          </w:p>
        </w:tc>
        <w:tc>
          <w:tcPr>
            <w:tcW w:w="1941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5F5316C" w14:textId="5A5AD561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El diseño cuenta con elementos aportados por tres miembros del equipo.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A75F453" w14:textId="1C5A6B10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El diseño no cuenta con elementos aportados por dos miembros del equipo. 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A2AFC60" w14:textId="5AB70C9D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eastAsiaTheme="minorEastAsia" w:hAnsi="Arial" w:cs="Arial"/>
                <w:color w:val="E95F07"/>
                <w:sz w:val="18"/>
                <w:szCs w:val="18"/>
                <w:lang w:val="es-ES"/>
              </w:rPr>
              <w:t>El diseño no cuenta con elementos aportados por todos los miembros del equipo.</w:t>
            </w:r>
          </w:p>
        </w:tc>
        <w:tc>
          <w:tcPr>
            <w:tcW w:w="114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E20E21D" w14:textId="77777777" w:rsidR="00853035" w:rsidRPr="005B0DDF" w:rsidRDefault="00853035" w:rsidP="008728CA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853035" w:rsidRPr="006A07E1" w14:paraId="30338ECB" w14:textId="77777777" w:rsidTr="00F9155B">
        <w:trPr>
          <w:trHeight w:val="490"/>
          <w:jc w:val="center"/>
        </w:trPr>
        <w:tc>
          <w:tcPr>
            <w:tcW w:w="196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C8E383C" w14:textId="7E1256F8" w:rsidR="00853035" w:rsidRPr="00F9155B" w:rsidRDefault="00853035" w:rsidP="008728CA">
            <w:pPr>
              <w:spacing w:after="0" w:line="240" w:lineRule="auto"/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</w:pPr>
            <w:r w:rsidRPr="00F9155B"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  <w:t>DAÑO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071027B3" w14:textId="605A72EB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No hubo inundaciones ni daños adicionales en </w:t>
            </w:r>
            <w:proofErr w:type="spellStart"/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Teastem</w:t>
            </w:r>
            <w:proofErr w:type="spellEnd"/>
            <w:r w:rsidR="00137A37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.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1CF9F99" w14:textId="1A242554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No hubo inundaciones adicionales, pero parte de la escorrentía llegó a las fuentes de agua locales.</w:t>
            </w:r>
          </w:p>
        </w:tc>
        <w:tc>
          <w:tcPr>
            <w:tcW w:w="194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52A7271" w14:textId="299BB95B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Hubo inundaciones adicionales en una nueva ubicación y la escorrentía llegó a las fuentes de agua locales.</w:t>
            </w:r>
          </w:p>
        </w:tc>
        <w:tc>
          <w:tcPr>
            <w:tcW w:w="20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8754C4B" w14:textId="725C12E5" w:rsidR="00853035" w:rsidRPr="00F9155B" w:rsidRDefault="00853035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Hubo inundaciones adicionales en al menos dos nuevos lugares y la escorrentía llegó a las fuentes de agua locales.</w:t>
            </w:r>
          </w:p>
        </w:tc>
        <w:tc>
          <w:tcPr>
            <w:tcW w:w="114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6FC9AA9" w14:textId="77777777" w:rsidR="00853035" w:rsidRPr="001E20A1" w:rsidRDefault="00853035" w:rsidP="00872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C60ED4" w14:textId="77777777" w:rsidR="00853035" w:rsidRPr="001E20A1" w:rsidRDefault="00853035" w:rsidP="008728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035" w:rsidRPr="006A07E1" w14:paraId="3EA8DD53" w14:textId="77777777" w:rsidTr="00F9155B">
        <w:trPr>
          <w:trHeight w:val="23"/>
          <w:jc w:val="center"/>
        </w:trPr>
        <w:tc>
          <w:tcPr>
            <w:tcW w:w="196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4F9C8EE" w14:textId="13F8B1DA" w:rsidR="00853035" w:rsidRPr="00F9155B" w:rsidRDefault="00853035" w:rsidP="008728CA">
            <w:pPr>
              <w:spacing w:after="0" w:line="240" w:lineRule="auto"/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</w:pPr>
            <w:r w:rsidRPr="00F9155B"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  <w:t>INUNDACIÓN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3D9E1B5E" w14:textId="121F75FA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No hubo inundaciones en los tres lugares clave. 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58CB4DF" w14:textId="757D5AE6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No hubo inundaciones en dos de los lugares clave. </w:t>
            </w:r>
          </w:p>
        </w:tc>
        <w:tc>
          <w:tcPr>
            <w:tcW w:w="194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03B30B" w14:textId="1C91687D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No hubo inundaciones en uno de los lugares clave. </w:t>
            </w:r>
          </w:p>
        </w:tc>
        <w:tc>
          <w:tcPr>
            <w:tcW w:w="20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2F8735A" w14:textId="1ADD766E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Hubo inundaciones en cada lugar clave.</w:t>
            </w:r>
          </w:p>
        </w:tc>
        <w:tc>
          <w:tcPr>
            <w:tcW w:w="114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06E330A" w14:textId="77777777" w:rsidR="00853035" w:rsidRPr="001E20A1" w:rsidRDefault="00853035" w:rsidP="00872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035" w:rsidRPr="006A07E1" w14:paraId="71EAB721" w14:textId="77777777" w:rsidTr="00F9155B">
        <w:trPr>
          <w:trHeight w:val="260"/>
          <w:jc w:val="center"/>
        </w:trPr>
        <w:tc>
          <w:tcPr>
            <w:tcW w:w="1964" w:type="dxa"/>
            <w:tcBorders>
              <w:top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F3F990F" w14:textId="35586C54" w:rsidR="00853035" w:rsidRPr="00F9155B" w:rsidRDefault="00853035" w:rsidP="008728CA">
            <w:pPr>
              <w:spacing w:after="0" w:line="240" w:lineRule="auto"/>
              <w:rPr>
                <w:rFonts w:ascii="Arial" w:hAnsi="Arial" w:cs="Arial"/>
                <w:color w:val="E95F07"/>
                <w:sz w:val="20"/>
                <w:szCs w:val="20"/>
              </w:rPr>
            </w:pPr>
            <w:r w:rsidRPr="00F9155B"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  <w:t>MÉTODOS</w:t>
            </w:r>
          </w:p>
        </w:tc>
        <w:tc>
          <w:tcPr>
            <w:tcW w:w="1941" w:type="dxa"/>
            <w:tcBorders>
              <w:top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75DFC178" w14:textId="6ADB4FA8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Se implementaron tres métodos diferentes en múltiples ubicaciones.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0DFD86" w14:textId="74D27760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Se implementaron tres métodos diferentes</w:t>
            </w:r>
            <w:r w:rsidR="00137A37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 en </w:t>
            </w:r>
            <w:proofErr w:type="gramStart"/>
            <w:r w:rsidR="00137A37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un ubicación</w:t>
            </w:r>
            <w:proofErr w:type="gramEnd"/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194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7C3CAEE" w14:textId="4579C9A9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Se implementaron dos métodos diferentes</w:t>
            </w:r>
            <w:r w:rsidR="00137A37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 en uno o más ubicaciones</w:t>
            </w: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.</w:t>
            </w:r>
          </w:p>
        </w:tc>
        <w:tc>
          <w:tcPr>
            <w:tcW w:w="20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D4CF0B7" w14:textId="7CB32DA7" w:rsidR="00853035" w:rsidRPr="00F9155B" w:rsidRDefault="00853035" w:rsidP="00853035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Sólo se implementó un método.</w:t>
            </w:r>
          </w:p>
        </w:tc>
        <w:tc>
          <w:tcPr>
            <w:tcW w:w="114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BBB77AB" w14:textId="77777777" w:rsidR="00853035" w:rsidRPr="001E20A1" w:rsidRDefault="00853035" w:rsidP="00872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035" w:rsidRPr="006A07E1" w14:paraId="387C3327" w14:textId="77777777" w:rsidTr="00F9155B">
        <w:trPr>
          <w:trHeight w:val="229"/>
          <w:jc w:val="center"/>
        </w:trPr>
        <w:tc>
          <w:tcPr>
            <w:tcW w:w="1964" w:type="dxa"/>
            <w:tcBorders>
              <w:top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4806F4A" w14:textId="22FBCB16" w:rsidR="00853035" w:rsidRPr="00F9155B" w:rsidRDefault="00853035" w:rsidP="008728CA">
            <w:pPr>
              <w:spacing w:after="0" w:line="240" w:lineRule="auto"/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</w:pPr>
            <w:r w:rsidRPr="00F9155B"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  <w:t>IMPACTO MEDIOAMBIENTAL</w:t>
            </w:r>
          </w:p>
        </w:tc>
        <w:tc>
          <w:tcPr>
            <w:tcW w:w="1941" w:type="dxa"/>
            <w:tcBorders>
              <w:top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5E3A3EED" w14:textId="78155A97" w:rsidR="00853035" w:rsidRPr="00F9155B" w:rsidRDefault="00232109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La calidad del agua y la vida silvestre de los arroyos se mantuvieron saludables (85% o más).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B8CEA27" w14:textId="0295DBF8" w:rsidR="00853035" w:rsidRPr="00F9155B" w:rsidRDefault="00232109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La calidad del agua y la vida silvestre de los arroyos se vieron afectadas (75%-84%).</w:t>
            </w:r>
          </w:p>
        </w:tc>
        <w:tc>
          <w:tcPr>
            <w:tcW w:w="194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7FFD520" w14:textId="7FF2C3FA" w:rsidR="00853035" w:rsidRPr="00F9155B" w:rsidRDefault="00232109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La calidad del agua y la vida silvestre de los arroyos se volvieron insalubres (65%-74%).</w:t>
            </w:r>
          </w:p>
        </w:tc>
        <w:tc>
          <w:tcPr>
            <w:tcW w:w="20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CA0094F" w14:textId="4E5DC904" w:rsidR="00853035" w:rsidRPr="00F9155B" w:rsidRDefault="00232109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La calidad del agua y la vida silvestre de los arroyos no son sostenibles (64% o menos).</w:t>
            </w:r>
          </w:p>
        </w:tc>
        <w:tc>
          <w:tcPr>
            <w:tcW w:w="114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2920FFE" w14:textId="77777777" w:rsidR="00853035" w:rsidRPr="001E20A1" w:rsidRDefault="00853035" w:rsidP="00872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035" w:rsidRPr="006A07E1" w14:paraId="32754714" w14:textId="77777777" w:rsidTr="00F9155B">
        <w:trPr>
          <w:trHeight w:val="27"/>
          <w:jc w:val="center"/>
        </w:trPr>
        <w:tc>
          <w:tcPr>
            <w:tcW w:w="196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FC33BA3" w14:textId="122BF01A" w:rsidR="00853035" w:rsidRPr="00F9155B" w:rsidRDefault="00853035" w:rsidP="008728CA">
            <w:pPr>
              <w:spacing w:after="0" w:line="240" w:lineRule="auto"/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</w:pPr>
            <w:r w:rsidRPr="00F9155B"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  <w:t>PRESUPUESTO UTILIZADO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4FD385E0" w14:textId="412914EC" w:rsidR="00853035" w:rsidRPr="00F9155B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</w:rPr>
              <w:t xml:space="preserve">$799,999 o </w:t>
            </w:r>
            <w:proofErr w:type="spellStart"/>
            <w:r w:rsidR="00232109" w:rsidRPr="00F9155B">
              <w:rPr>
                <w:rFonts w:ascii="Arial" w:hAnsi="Arial" w:cs="Arial"/>
                <w:color w:val="E95F07"/>
                <w:sz w:val="18"/>
                <w:szCs w:val="18"/>
              </w:rPr>
              <w:t>menos</w:t>
            </w:r>
            <w:proofErr w:type="spellEnd"/>
            <w:r w:rsidR="00232109" w:rsidRPr="00F9155B">
              <w:rPr>
                <w:rFonts w:ascii="Arial" w:hAnsi="Arial" w:cs="Arial"/>
                <w:color w:val="E95F07"/>
                <w:sz w:val="18"/>
                <w:szCs w:val="18"/>
              </w:rPr>
              <w:t>.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0C3BBEB" w14:textId="4B42A16D" w:rsidR="00853035" w:rsidRPr="00F9155B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</w:rPr>
              <w:t>$800,000 - $899,999</w:t>
            </w:r>
            <w:r w:rsidR="00232109" w:rsidRPr="00F9155B">
              <w:rPr>
                <w:rFonts w:ascii="Arial" w:hAnsi="Arial" w:cs="Arial"/>
                <w:color w:val="E95F07"/>
                <w:sz w:val="18"/>
                <w:szCs w:val="18"/>
              </w:rPr>
              <w:t>.</w:t>
            </w:r>
          </w:p>
        </w:tc>
        <w:tc>
          <w:tcPr>
            <w:tcW w:w="194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00CDC2B" w14:textId="74B1A814" w:rsidR="00853035" w:rsidRPr="00F9155B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</w:rPr>
              <w:t>$900,000 - $1,000,000</w:t>
            </w:r>
            <w:r w:rsidR="00232109" w:rsidRPr="00F9155B">
              <w:rPr>
                <w:rFonts w:ascii="Arial" w:hAnsi="Arial" w:cs="Arial"/>
                <w:color w:val="E95F07"/>
                <w:sz w:val="18"/>
                <w:szCs w:val="18"/>
              </w:rPr>
              <w:t>.</w:t>
            </w:r>
          </w:p>
        </w:tc>
        <w:tc>
          <w:tcPr>
            <w:tcW w:w="20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67477F" w14:textId="6C1BA24F" w:rsidR="00853035" w:rsidRPr="00F9155B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</w:rPr>
              <w:t xml:space="preserve">$1,000,0001 o </w:t>
            </w:r>
            <w:proofErr w:type="spellStart"/>
            <w:r w:rsidR="00232109" w:rsidRPr="00F9155B">
              <w:rPr>
                <w:rFonts w:ascii="Arial" w:hAnsi="Arial" w:cs="Arial"/>
                <w:color w:val="E95F07"/>
                <w:sz w:val="18"/>
                <w:szCs w:val="18"/>
              </w:rPr>
              <w:t>más</w:t>
            </w:r>
            <w:proofErr w:type="spellEnd"/>
            <w:r w:rsidRPr="00F9155B">
              <w:rPr>
                <w:rFonts w:ascii="Arial" w:hAnsi="Arial" w:cs="Arial"/>
                <w:color w:val="E95F07"/>
                <w:sz w:val="18"/>
                <w:szCs w:val="18"/>
              </w:rPr>
              <w:t>.</w:t>
            </w:r>
          </w:p>
        </w:tc>
        <w:tc>
          <w:tcPr>
            <w:tcW w:w="114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D2EAB7A" w14:textId="77777777" w:rsidR="00853035" w:rsidRPr="001E20A1" w:rsidRDefault="00853035" w:rsidP="00872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035" w:rsidRPr="006A07E1" w14:paraId="63BCC418" w14:textId="77777777" w:rsidTr="00F9155B">
        <w:trPr>
          <w:trHeight w:val="27"/>
          <w:jc w:val="center"/>
        </w:trPr>
        <w:tc>
          <w:tcPr>
            <w:tcW w:w="196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834A980" w14:textId="78000652" w:rsidR="00853035" w:rsidRPr="00F9155B" w:rsidRDefault="00853035" w:rsidP="008728CA">
            <w:pPr>
              <w:spacing w:after="0" w:line="240" w:lineRule="auto"/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</w:pPr>
            <w:r w:rsidRPr="00F9155B">
              <w:rPr>
                <w:rFonts w:ascii="Arial" w:hAnsi="Arial" w:cs="Arial"/>
                <w:b/>
                <w:bCs/>
                <w:color w:val="E95F07"/>
                <w:sz w:val="20"/>
                <w:szCs w:val="20"/>
              </w:rPr>
              <w:t>PUNTOS ADICIONALES: PRUEBA DE EROSIÓN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7757682A" w14:textId="7C33E914" w:rsidR="00853035" w:rsidRPr="00F9155B" w:rsidRDefault="00232109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No hubo inundaciones en los tres lugares clave después de la erosión.</w:t>
            </w: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F441D33" w14:textId="36E55FD5" w:rsidR="00853035" w:rsidRPr="00F9155B" w:rsidRDefault="00232109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En dos de los lugares clave no se produjeron inundaciones tras la erosión. </w:t>
            </w:r>
          </w:p>
        </w:tc>
        <w:tc>
          <w:tcPr>
            <w:tcW w:w="194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32116CE" w14:textId="09449859" w:rsidR="00853035" w:rsidRPr="00F9155B" w:rsidRDefault="00232109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 xml:space="preserve">En uno de los lugares clave no se produjeron inundaciones tras la erosión. </w:t>
            </w:r>
          </w:p>
        </w:tc>
        <w:tc>
          <w:tcPr>
            <w:tcW w:w="20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A18EF76" w14:textId="77777777" w:rsidR="00232109" w:rsidRPr="00F9155B" w:rsidRDefault="00232109" w:rsidP="00232109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  <w:r w:rsidRPr="00F9155B">
              <w:rPr>
                <w:rFonts w:ascii="Arial" w:hAnsi="Arial" w:cs="Arial"/>
                <w:color w:val="E95F07"/>
                <w:sz w:val="18"/>
                <w:szCs w:val="18"/>
                <w:lang w:val="es-ES"/>
              </w:rPr>
              <w:t>Hubo inundaciones en cada lugar clave después de la erosión.</w:t>
            </w:r>
          </w:p>
          <w:p w14:paraId="47749841" w14:textId="7E8BF3E7" w:rsidR="00853035" w:rsidRPr="00F9155B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color w:val="E95F07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F01D106" w14:textId="77777777" w:rsidR="00853035" w:rsidRPr="001E20A1" w:rsidRDefault="00853035" w:rsidP="00872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035" w:rsidRPr="006A07E1" w14:paraId="4E716006" w14:textId="77777777" w:rsidTr="00F9155B">
        <w:trPr>
          <w:trHeight w:val="27"/>
          <w:jc w:val="center"/>
        </w:trPr>
        <w:tc>
          <w:tcPr>
            <w:tcW w:w="1964" w:type="dxa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BBC2A8" w14:textId="77777777" w:rsidR="00853035" w:rsidRDefault="00853035" w:rsidP="008728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277D20" w14:textId="77777777" w:rsidR="00853035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D6CB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EF80325" w14:textId="77777777" w:rsidR="00853035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0B9DB06F" w14:textId="77777777" w:rsidR="00853035" w:rsidRDefault="00853035" w:rsidP="008728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106BB9"/>
          </w:tcPr>
          <w:p w14:paraId="3B864DE5" w14:textId="51742443" w:rsidR="00853035" w:rsidRPr="008728CA" w:rsidRDefault="00232109" w:rsidP="008728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14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A670D2E" w14:textId="77777777" w:rsidR="00853035" w:rsidRPr="001E20A1" w:rsidRDefault="00853035" w:rsidP="00872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347F21AB" w14:textId="77777777" w:rsidR="00E172B1" w:rsidRPr="00E11C28" w:rsidRDefault="00E172B1">
      <w:pPr>
        <w:rPr>
          <w:color w:val="F26038"/>
        </w:rPr>
      </w:pPr>
    </w:p>
    <w:sectPr w:rsidR="00E172B1" w:rsidRPr="00E11C28" w:rsidSect="001E7CB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A9B6" w14:textId="77777777" w:rsidR="001E7CB2" w:rsidRDefault="001E7CB2">
      <w:pPr>
        <w:spacing w:after="0" w:line="240" w:lineRule="auto"/>
      </w:pPr>
      <w:r>
        <w:separator/>
      </w:r>
    </w:p>
  </w:endnote>
  <w:endnote w:type="continuationSeparator" w:id="0">
    <w:p w14:paraId="365BD6FD" w14:textId="77777777" w:rsidR="001E7CB2" w:rsidRDefault="001E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7ECD" w14:textId="77777777" w:rsidR="00384C9F" w:rsidRDefault="00000000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D4449B" w14:textId="77777777" w:rsidR="00384C9F" w:rsidRDefault="00384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2A71" w14:textId="77777777" w:rsidR="00384C9F" w:rsidRDefault="00000000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19CAA20" wp14:editId="52377374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B38FB" id="Straight Connector 1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" strokecolor="#004c97" strokeweight="1pt">
              <v:stroke joinstyle="miter"/>
              <o:lock v:ext="edit" shapetype="f"/>
            </v:line>
          </w:pict>
        </mc:Fallback>
      </mc:AlternateContent>
    </w:r>
  </w:p>
  <w:p w14:paraId="46DB0FD6" w14:textId="77777777" w:rsidR="00384C9F" w:rsidRDefault="00000000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454FD36" wp14:editId="3B82D2D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B55F7" w14:textId="77777777" w:rsidR="00384C9F" w:rsidRDefault="00384C9F" w:rsidP="00FF206C">
    <w:pPr>
      <w:pStyle w:val="Footer"/>
    </w:pPr>
  </w:p>
  <w:p w14:paraId="311DBAAD" w14:textId="77777777" w:rsidR="00384C9F" w:rsidRPr="008568CF" w:rsidRDefault="00000000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5C8F3F6F" w14:textId="77777777" w:rsidR="00384C9F" w:rsidRPr="008568CF" w:rsidRDefault="00384C9F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7E817530" w14:textId="77777777" w:rsidR="00384C9F" w:rsidRDefault="00384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20C1" w14:textId="77777777" w:rsidR="00384C9F" w:rsidRDefault="00000000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46DF333" wp14:editId="3917EB95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372BD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" strokecolor="#004c97" strokeweight="1pt">
              <v:stroke joinstyle="miter"/>
              <o:lock v:ext="edit" shapetype="f"/>
            </v:line>
          </w:pict>
        </mc:Fallback>
      </mc:AlternateContent>
    </w:r>
  </w:p>
  <w:p w14:paraId="29EB8952" w14:textId="77777777" w:rsidR="00384C9F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B5827A" wp14:editId="7F5B69DE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FD645" w14:textId="77777777" w:rsidR="00384C9F" w:rsidRDefault="00384C9F">
    <w:pPr>
      <w:pStyle w:val="Footer"/>
    </w:pPr>
  </w:p>
  <w:p w14:paraId="30CBF9D9" w14:textId="77777777" w:rsidR="00384C9F" w:rsidRPr="008568CF" w:rsidRDefault="00000000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1C3CB913" w14:textId="77777777" w:rsidR="00384C9F" w:rsidRPr="008568CF" w:rsidRDefault="00384C9F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F5B8" w14:textId="77777777" w:rsidR="001E7CB2" w:rsidRDefault="001E7CB2">
      <w:pPr>
        <w:spacing w:after="0" w:line="240" w:lineRule="auto"/>
      </w:pPr>
      <w:r>
        <w:separator/>
      </w:r>
    </w:p>
  </w:footnote>
  <w:footnote w:type="continuationSeparator" w:id="0">
    <w:p w14:paraId="18AAEA9A" w14:textId="77777777" w:rsidR="001E7CB2" w:rsidRDefault="001E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2724" w14:textId="77777777" w:rsidR="00384C9F" w:rsidRDefault="0000000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78BE3BC" wp14:editId="5CAC85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E2B5" w14:textId="77777777" w:rsidR="00384C9F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E595E" wp14:editId="011742E5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F0309" w14:textId="77777777" w:rsidR="00384C9F" w:rsidRDefault="00384C9F">
    <w:pPr>
      <w:pStyle w:val="Header"/>
    </w:pPr>
  </w:p>
  <w:p w14:paraId="7C343C78" w14:textId="77777777" w:rsidR="00384C9F" w:rsidRDefault="00384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17"/>
    <w:rsid w:val="00137A37"/>
    <w:rsid w:val="00152BA6"/>
    <w:rsid w:val="001E7CB2"/>
    <w:rsid w:val="00232109"/>
    <w:rsid w:val="00266D75"/>
    <w:rsid w:val="00354ED5"/>
    <w:rsid w:val="00384C9F"/>
    <w:rsid w:val="003C79D8"/>
    <w:rsid w:val="004B0B17"/>
    <w:rsid w:val="00545D02"/>
    <w:rsid w:val="00853035"/>
    <w:rsid w:val="00A535E9"/>
    <w:rsid w:val="00E11C28"/>
    <w:rsid w:val="00E172B1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31F33"/>
  <w15:chartTrackingRefBased/>
  <w15:docId w15:val="{6ADFFB58-FC54-CF45-8507-5DBDD009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17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B17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17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B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17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4B0B17"/>
  </w:style>
  <w:style w:type="paragraph" w:styleId="Header">
    <w:name w:val="header"/>
    <w:basedOn w:val="Normal"/>
    <w:link w:val="HeaderChar"/>
    <w:uiPriority w:val="99"/>
    <w:unhideWhenUsed/>
    <w:rsid w:val="004B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17"/>
    <w:rPr>
      <w:rFonts w:ascii="Calibri" w:eastAsia="Malgun Gothic" w:hAnsi="Calibri" w:cs="Times New Roman"/>
      <w:sz w:val="22"/>
      <w:szCs w:val="22"/>
      <w:lang w:eastAsia="ko-KR"/>
    </w:rPr>
  </w:style>
  <w:style w:type="paragraph" w:styleId="Revision">
    <w:name w:val="Revision"/>
    <w:hidden/>
    <w:uiPriority w:val="99"/>
    <w:semiHidden/>
    <w:rsid w:val="00853035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7</cp:revision>
  <dcterms:created xsi:type="dcterms:W3CDTF">2022-07-21T14:15:00Z</dcterms:created>
  <dcterms:modified xsi:type="dcterms:W3CDTF">2024-01-10T20:26:00Z</dcterms:modified>
</cp:coreProperties>
</file>