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b w:val="1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STUDENT NAME: 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0b5394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color w:val="0b5394"/>
          <w:sz w:val="36"/>
          <w:szCs w:val="36"/>
          <w:rtl w:val="0"/>
        </w:rPr>
        <w:t xml:space="preserve">ESA Worksheet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Read the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ESA At a Glance</w:t>
        </w:r>
      </w:hyperlink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fact sheet about the Endangered Species Act (ESA) and answer the following questions.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What is the ESA? 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Name the five (5) factors the Fish and Wildlife Service (FWS) takes into consideration when thinking about adding a species to the Endangered Species List.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How are “take” and “harm” defined in the ESA?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What are Conservation Banks and why are they important?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ESA’s ultimate goal?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>
        <w:color w:val="999999"/>
        <w:sz w:val="16"/>
        <w:szCs w:val="16"/>
        <w:rtl w:val="0"/>
      </w:rPr>
      <w:t xml:space="preserve">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 AN OCEAN WITHOUT SHARKS : ESA Worksheet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-95248</wp:posOffset>
          </wp:positionV>
          <wp:extent cx="997117" cy="242888"/>
          <wp:effectExtent b="0" l="0" r="0" t="0"/>
          <wp:wrapSquare wrapText="bothSides" distB="114300" distT="11430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/>
    </w:pPr>
    <w:r w:rsidDel="00000000" w:rsidR="00000000" w:rsidRPr="00000000">
      <w:rPr>
        <w:color w:val="999999"/>
        <w:sz w:val="16"/>
        <w:szCs w:val="16"/>
        <w:rtl w:val="0"/>
      </w:rPr>
      <w:t xml:space="preserve">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 AN OCEAN WITHOUT SHARKS : ESA Worksheet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-95248</wp:posOffset>
          </wp:positionV>
          <wp:extent cx="997117" cy="242888"/>
          <wp:effectExtent b="0" l="0" r="0" t="0"/>
          <wp:wrapSquare wrapText="bothSides" distB="114300" distT="11430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843088" cy="915099"/>
          <wp:effectExtent b="0" l="0" r="0" t="0"/>
          <wp:wrapSquare wrapText="bothSides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9150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ropbox.com/h?preview=ESA+at+a+glance.docx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sCpM7fpv4id+OHSSOqaxFIRnbw==">AMUW2mVWP0IxLc2wFZpX7KqaIZIKgbs8urmBPH8MPt4yPaE/+EjaJDf1KmwbTXzY0BuJKKju66Tj4nKQEjyHW27USTam5ePlbBDMzoNYjnDGAuZ8NF96HkU=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