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Fonts w:ascii="Roboto" w:cs="Roboto" w:eastAsia="Roboto" w:hAnsi="Roboto"/>
          <w:b w:val="1"/>
          <w:sz w:val="18"/>
          <w:szCs w:val="18"/>
          <w:rtl w:val="0"/>
        </w:rPr>
        <w:t xml:space="preserve"> </w:t>
      </w:r>
      <w:r w:rsidDel="00000000" w:rsidR="00000000" w:rsidRPr="00000000">
        <w:rPr>
          <w:rtl w:val="0"/>
        </w:rPr>
      </w:r>
    </w:p>
    <w:p w:rsidR="00000000" w:rsidDel="00000000" w:rsidP="00000000" w:rsidRDefault="00000000" w:rsidRPr="00000000" w14:paraId="0000000C">
      <w:pPr>
        <w:pStyle w:val="Title"/>
        <w:spacing w:line="276.0005454545455" w:lineRule="auto"/>
        <w:rPr>
          <w:rFonts w:ascii="Roboto" w:cs="Roboto" w:eastAsia="Roboto" w:hAnsi="Roboto"/>
          <w:color w:val="0b5394"/>
          <w:sz w:val="36"/>
          <w:szCs w:val="36"/>
        </w:rPr>
      </w:pPr>
      <w:bookmarkStart w:colFirst="0" w:colLast="0" w:name="_akdfvfdsjl0p" w:id="0"/>
      <w:bookmarkEnd w:id="0"/>
      <w:r w:rsidDel="00000000" w:rsidR="00000000" w:rsidRPr="00000000">
        <w:rPr>
          <w:rFonts w:ascii="Roboto" w:cs="Roboto" w:eastAsia="Roboto" w:hAnsi="Roboto"/>
          <w:color w:val="0b5394"/>
          <w:sz w:val="36"/>
          <w:szCs w:val="36"/>
          <w:rtl w:val="0"/>
        </w:rPr>
        <w:t xml:space="preserve">A Closer Look at Hemoglobin</w:t>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v9ece8wdt2bg"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Your research has determined that sickle cell hemoglobin differs from normal hemoglobin in the net negative charge on the proteins. This discovery is an important one; it identifies a characteristic that can be used to diagnose sickle cell anemia. However, it does not tell us what causes sickle cell anemia or why the proteins are different. </w:t>
      </w:r>
    </w:p>
    <w:p w:rsidR="00000000" w:rsidDel="00000000" w:rsidP="00000000" w:rsidRDefault="00000000" w:rsidRPr="00000000" w14:paraId="0000000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Advances in molecular biology and our understanding of DNA in the past two decades have provided us with more insights into the cause of sickle cell anemia. See if you can use the following data obtained from research in molecular biology to uncover more information about sickle cell anemia.</w:t>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pStyle w:val="Heading2"/>
        <w:rPr/>
      </w:pPr>
      <w:bookmarkStart w:colFirst="0" w:colLast="0" w:name="_93g2i16ksqh5" w:id="2"/>
      <w:bookmarkEnd w:id="2"/>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2"/>
        <w:rPr/>
      </w:pPr>
      <w:bookmarkStart w:colFirst="0" w:colLast="0" w:name="_uin6fsq79xwo" w:id="3"/>
      <w:bookmarkEnd w:id="3"/>
      <w:r w:rsidDel="00000000" w:rsidR="00000000" w:rsidRPr="00000000">
        <w:rPr>
          <w:rtl w:val="0"/>
        </w:rPr>
        <w:t xml:space="preserve">Analyzing Normal Hemoglobin</w:t>
      </w:r>
    </w:p>
    <w:p w:rsidR="00000000" w:rsidDel="00000000" w:rsidP="00000000" w:rsidRDefault="00000000" w:rsidRPr="00000000" w14:paraId="00000014">
      <w:pPr>
        <w:pStyle w:val="Heading3"/>
        <w:rPr>
          <w:rFonts w:ascii="Roboto" w:cs="Roboto" w:eastAsia="Roboto" w:hAnsi="Roboto"/>
          <w:i w:val="1"/>
          <w:color w:val="0b5394"/>
          <w:sz w:val="26"/>
          <w:szCs w:val="26"/>
        </w:rPr>
      </w:pPr>
      <w:bookmarkStart w:colFirst="0" w:colLast="0" w:name="_uxs9pb1fwhe8" w:id="4"/>
      <w:bookmarkEnd w:id="4"/>
      <w:r w:rsidDel="00000000" w:rsidR="00000000" w:rsidRPr="00000000">
        <w:rPr>
          <w:rFonts w:ascii="Roboto" w:cs="Roboto" w:eastAsia="Roboto" w:hAnsi="Roboto"/>
          <w:i w:val="1"/>
          <w:color w:val="0b5394"/>
          <w:sz w:val="26"/>
          <w:szCs w:val="26"/>
          <w:rtl w:val="0"/>
        </w:rPr>
        <w:t xml:space="preserve">Transcription</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Document 1 of the Reference Sheet to complete the first question.</w:t>
      </w: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8"/>
          <w:szCs w:val="28"/>
        </w:rPr>
      </w:pPr>
      <w:r w:rsidDel="00000000" w:rsidR="00000000" w:rsidRPr="00000000">
        <w:rPr>
          <w:rtl w:val="0"/>
        </w:rPr>
      </w:r>
    </w:p>
    <w:tbl>
      <w:tblPr>
        <w:tblStyle w:val="Table2"/>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65"/>
        <w:tblGridChange w:id="0">
          <w:tblGrid>
            <w:gridCol w:w="4140"/>
            <w:gridCol w:w="526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Transcribe the DNA sequence for the first 7 amino acids of a NORMAL hemoglobin gene.  Write the mRNA sequence to the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1B">
      <w:pPr>
        <w:pStyle w:val="Heading3"/>
        <w:spacing w:line="276.0005454545455" w:lineRule="auto"/>
        <w:rPr/>
      </w:pPr>
      <w:bookmarkStart w:colFirst="0" w:colLast="0" w:name="_r6gnhx7ss6ee" w:id="5"/>
      <w:bookmarkEnd w:id="5"/>
      <w:r w:rsidDel="00000000" w:rsidR="00000000" w:rsidRPr="00000000">
        <w:rPr>
          <w:rtl w:val="0"/>
        </w:rPr>
        <w:t xml:space="preserve">Translation</w:t>
      </w:r>
    </w:p>
    <w:p w:rsidR="00000000" w:rsidDel="00000000" w:rsidP="00000000" w:rsidRDefault="00000000" w:rsidRPr="00000000" w14:paraId="0000001C">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Translate the mRNA sequence into its corresponding amino acids.  Use the chart of mRNA codons from Document 2 of the Reference Sheet.  Write each amino acid in a box below.</w:t>
      </w:r>
    </w:p>
    <w:p w:rsidR="00000000" w:rsidDel="00000000" w:rsidP="00000000" w:rsidRDefault="00000000" w:rsidRPr="00000000" w14:paraId="0000001D">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Record the charge of each amino acid in the second row.  Use Document 3 of the Reference Sheet to find the charge information.</w:t>
      </w:r>
    </w:p>
    <w:p w:rsidR="00000000" w:rsidDel="00000000" w:rsidP="00000000" w:rsidRDefault="00000000" w:rsidRPr="00000000" w14:paraId="0000001E">
      <w:pPr>
        <w:rPr>
          <w:rFonts w:ascii="Calibri" w:cs="Calibri" w:eastAsia="Calibri" w:hAnsi="Calibri"/>
          <w:b w:val="1"/>
          <w:sz w:val="28"/>
          <w:szCs w:val="28"/>
        </w:rPr>
      </w:pPr>
      <w:r w:rsidDel="00000000" w:rsidR="00000000" w:rsidRPr="00000000">
        <w:rPr>
          <w:rtl w:val="0"/>
        </w:rPr>
      </w:r>
    </w:p>
    <w:tbl>
      <w:tblPr>
        <w:tblStyle w:val="Table3"/>
        <w:tblW w:w="14940.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170"/>
        <w:gridCol w:w="1170"/>
        <w:gridCol w:w="1170"/>
        <w:gridCol w:w="1170"/>
        <w:gridCol w:w="1170"/>
        <w:gridCol w:w="1170"/>
        <w:gridCol w:w="1170"/>
        <w:gridCol w:w="5265"/>
        <w:tblGridChange w:id="0">
          <w:tblGrid>
            <w:gridCol w:w="1485"/>
            <w:gridCol w:w="1170"/>
            <w:gridCol w:w="1170"/>
            <w:gridCol w:w="1170"/>
            <w:gridCol w:w="1170"/>
            <w:gridCol w:w="1170"/>
            <w:gridCol w:w="1170"/>
            <w:gridCol w:w="1170"/>
            <w:gridCol w:w="5265"/>
          </w:tblGrid>
        </w:tblGridChange>
      </w:tblGrid>
      <w:tr>
        <w:trPr>
          <w:trHeight w:val="4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Calibri" w:cs="Calibri" w:eastAsia="Calibri" w:hAnsi="Calibri"/>
                <w:b w:val="1"/>
                <w:sz w:val="24"/>
                <w:szCs w:val="24"/>
              </w:rPr>
            </w:pPr>
            <w:r w:rsidDel="00000000" w:rsidR="00000000" w:rsidRPr="00000000">
              <w:rPr>
                <w:rtl w:val="0"/>
              </w:rPr>
            </w:r>
          </w:p>
        </w:tc>
        <w:tc>
          <w:tcPr>
            <w:gridSpan w:val="7"/>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Amino Acid Sequence for NORMAL Hemoglobin</w:t>
            </w:r>
          </w:p>
        </w:tc>
      </w:tr>
      <w:tr>
        <w:trPr>
          <w:trHeight w:val="1050" w:hRule="atLeast"/>
        </w:trPr>
        <w:tc>
          <w:tcPr>
            <w:tcBorders>
              <w:righ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 Amino acid abbreviation</w:t>
            </w:r>
          </w:p>
        </w:tc>
        <w:tc>
          <w:tcPr>
            <w:tcBorders>
              <w:lef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ind w:left="0" w:firstLine="0"/>
              <w:jc w:val="cente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[Ex. Glu]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r>
      <w:tr>
        <w:trPr>
          <w:trHeight w:val="1050" w:hRule="atLeast"/>
        </w:trPr>
        <w:tc>
          <w:tcPr>
            <w:tcBorders>
              <w:righ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 Charge</w:t>
            </w:r>
          </w:p>
        </w:tc>
        <w:tc>
          <w:tcPr>
            <w:tcBorders>
              <w:lef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ind w:left="0" w:firstLine="0"/>
              <w:jc w:val="center"/>
              <w:rPr>
                <w:rFonts w:ascii="Roboto" w:cs="Roboto" w:eastAsia="Roboto" w:hAnsi="Roboto"/>
                <w:color w:val="0000ff"/>
                <w:sz w:val="20"/>
                <w:szCs w:val="20"/>
              </w:rPr>
            </w:pPr>
            <w:r w:rsidDel="00000000" w:rsidR="00000000" w:rsidRPr="00000000">
              <w:rPr>
                <w:rtl w:val="0"/>
              </w:rPr>
            </w:r>
          </w:p>
        </w:tc>
      </w:tr>
    </w:tbl>
    <w:p w:rsidR="00000000" w:rsidDel="00000000" w:rsidP="00000000" w:rsidRDefault="00000000" w:rsidRPr="00000000" w14:paraId="00000037">
      <w:pPr>
        <w:pStyle w:val="Heading2"/>
        <w:spacing w:line="276.0005454545455" w:lineRule="auto"/>
        <w:ind w:left="0" w:firstLine="0"/>
        <w:rPr/>
      </w:pPr>
      <w:bookmarkStart w:colFirst="0" w:colLast="0" w:name="_kcszvoagchtu" w:id="6"/>
      <w:bookmarkEnd w:id="6"/>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2"/>
        <w:spacing w:line="276.0005454545455" w:lineRule="auto"/>
        <w:ind w:left="0" w:firstLine="0"/>
        <w:rPr/>
      </w:pPr>
      <w:bookmarkStart w:colFirst="0" w:colLast="0" w:name="_4kuujnpilugv" w:id="7"/>
      <w:bookmarkEnd w:id="7"/>
      <w:r w:rsidDel="00000000" w:rsidR="00000000" w:rsidRPr="00000000">
        <w:rPr>
          <w:rtl w:val="0"/>
        </w:rPr>
        <w:t xml:space="preserve">Analyzing Sickle Hemoglobin</w:t>
      </w:r>
    </w:p>
    <w:p w:rsidR="00000000" w:rsidDel="00000000" w:rsidP="00000000" w:rsidRDefault="00000000" w:rsidRPr="00000000" w14:paraId="00000039">
      <w:pPr>
        <w:pStyle w:val="Heading3"/>
        <w:rPr/>
      </w:pPr>
      <w:bookmarkStart w:colFirst="0" w:colLast="0" w:name="_dahfgvsg1m6p" w:id="8"/>
      <w:bookmarkEnd w:id="8"/>
      <w:r w:rsidDel="00000000" w:rsidR="00000000" w:rsidRPr="00000000">
        <w:rPr>
          <w:rtl w:val="0"/>
        </w:rPr>
        <w:t xml:space="preserve">Transcription</w:t>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Document 1 of the Reference Sheet to complete the fourth question.</w:t>
      </w:r>
    </w:p>
    <w:p w:rsidR="00000000" w:rsidDel="00000000" w:rsidP="00000000" w:rsidRDefault="00000000" w:rsidRPr="00000000" w14:paraId="0000003B">
      <w:pPr>
        <w:rPr>
          <w:rFonts w:ascii="Calibri" w:cs="Calibri" w:eastAsia="Calibri" w:hAnsi="Calibri"/>
          <w:b w:val="1"/>
          <w:sz w:val="28"/>
          <w:szCs w:val="28"/>
        </w:rPr>
      </w:pPr>
      <w:r w:rsidDel="00000000" w:rsidR="00000000" w:rsidRPr="00000000">
        <w:rPr>
          <w:rtl w:val="0"/>
        </w:rPr>
      </w:r>
    </w:p>
    <w:tbl>
      <w:tblPr>
        <w:tblStyle w:val="Table4"/>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65"/>
        <w:tblGridChange w:id="0">
          <w:tblGrid>
            <w:gridCol w:w="4140"/>
            <w:gridCol w:w="526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1"/>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Transcribe the DNA sequence for the first 7 amino acids of a SICKLE hemoglobin gene.  Write the mRNA sequence to the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40">
      <w:pPr>
        <w:pStyle w:val="Heading3"/>
        <w:spacing w:line="276.0005454545455" w:lineRule="auto"/>
        <w:rPr/>
      </w:pPr>
      <w:bookmarkStart w:colFirst="0" w:colLast="0" w:name="_jt0b5ym6mq79" w:id="9"/>
      <w:bookmarkEnd w:id="9"/>
      <w:r w:rsidDel="00000000" w:rsidR="00000000" w:rsidRPr="00000000">
        <w:rPr>
          <w:rtl w:val="0"/>
        </w:rPr>
        <w:t xml:space="preserve">Translation</w:t>
      </w:r>
    </w:p>
    <w:p w:rsidR="00000000" w:rsidDel="00000000" w:rsidP="00000000" w:rsidRDefault="00000000" w:rsidRPr="00000000" w14:paraId="00000041">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Translate the mRNA sequence into its corresponding amino acids.  Use the chart of mRNA codons from Document 2 of the Reference Sheet.  Write each amino acid in a box below.</w:t>
      </w:r>
    </w:p>
    <w:p w:rsidR="00000000" w:rsidDel="00000000" w:rsidP="00000000" w:rsidRDefault="00000000" w:rsidRPr="00000000" w14:paraId="00000042">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Record the charge of each amino acid in the second row.  Use Document 3 of the Reference Sheet to find the charge information</w:t>
      </w:r>
    </w:p>
    <w:p w:rsidR="00000000" w:rsidDel="00000000" w:rsidP="00000000" w:rsidRDefault="00000000" w:rsidRPr="00000000" w14:paraId="00000043">
      <w:pPr>
        <w:rPr>
          <w:rFonts w:ascii="Calibri" w:cs="Calibri" w:eastAsia="Calibri" w:hAnsi="Calibri"/>
          <w:b w:val="1"/>
          <w:sz w:val="28"/>
          <w:szCs w:val="28"/>
        </w:rPr>
      </w:pPr>
      <w:r w:rsidDel="00000000" w:rsidR="00000000" w:rsidRPr="00000000">
        <w:rPr>
          <w:rtl w:val="0"/>
        </w:rPr>
      </w:r>
    </w:p>
    <w:tbl>
      <w:tblPr>
        <w:tblStyle w:val="Table5"/>
        <w:tblW w:w="9675.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170"/>
        <w:gridCol w:w="1170"/>
        <w:gridCol w:w="1170"/>
        <w:gridCol w:w="1170"/>
        <w:gridCol w:w="1170"/>
        <w:gridCol w:w="1170"/>
        <w:gridCol w:w="1170"/>
        <w:gridCol w:w="0"/>
        <w:tblGridChange w:id="0">
          <w:tblGrid>
            <w:gridCol w:w="1485"/>
            <w:gridCol w:w="1170"/>
            <w:gridCol w:w="1170"/>
            <w:gridCol w:w="1170"/>
            <w:gridCol w:w="1170"/>
            <w:gridCol w:w="1170"/>
            <w:gridCol w:w="1170"/>
            <w:gridCol w:w="1170"/>
            <w:gridCol w:w="0"/>
          </w:tblGrid>
        </w:tblGridChange>
      </w:tblGrid>
      <w:tr>
        <w:trPr>
          <w:trHeight w:val="4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sz w:val="24"/>
                <w:szCs w:val="24"/>
              </w:rPr>
            </w:pPr>
            <w:r w:rsidDel="00000000" w:rsidR="00000000" w:rsidRPr="00000000">
              <w:rPr>
                <w:rtl w:val="0"/>
              </w:rPr>
            </w:r>
          </w:p>
        </w:tc>
        <w:tc>
          <w:tcPr>
            <w:gridSpan w:val="7"/>
            <w:shd w:fill="cfe2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Amino Acid Sequence for SICKLE Hemoglobin</w:t>
            </w:r>
          </w:p>
        </w:tc>
      </w:tr>
      <w:tr>
        <w:trPr>
          <w:trHeight w:val="1050" w:hRule="atLeast"/>
        </w:trPr>
        <w:tc>
          <w:tcPr>
            <w:tcBorders>
              <w:righ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  </w:t>
            </w:r>
            <w:r w:rsidDel="00000000" w:rsidR="00000000" w:rsidRPr="00000000">
              <w:rPr>
                <w:rFonts w:ascii="Roboto" w:cs="Roboto" w:eastAsia="Roboto" w:hAnsi="Roboto"/>
                <w:sz w:val="20"/>
                <w:szCs w:val="20"/>
                <w:rtl w:val="0"/>
              </w:rPr>
              <w:t xml:space="preserve">Amino acid abbreviation</w:t>
            </w:r>
          </w:p>
        </w:tc>
        <w:tc>
          <w:tcPr>
            <w:tcBorders>
              <w:lef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[Ex. Glu]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rFonts w:ascii="Roboto" w:cs="Roboto" w:eastAsia="Roboto" w:hAnsi="Roboto"/>
                <w:color w:val="0000ff"/>
                <w:sz w:val="20"/>
                <w:szCs w:val="20"/>
              </w:rPr>
            </w:pPr>
            <w:r w:rsidDel="00000000" w:rsidR="00000000" w:rsidRPr="00000000">
              <w:rPr>
                <w:rtl w:val="0"/>
              </w:rPr>
            </w:r>
          </w:p>
        </w:tc>
      </w:tr>
      <w:tr>
        <w:trPr>
          <w:trHeight w:val="1050" w:hRule="atLeast"/>
        </w:trPr>
        <w:tc>
          <w:tcPr>
            <w:tcBorders>
              <w:righ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ind w:left="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6. </w:t>
            </w:r>
            <w:r w:rsidDel="00000000" w:rsidR="00000000" w:rsidRPr="00000000">
              <w:rPr>
                <w:rFonts w:ascii="Roboto" w:cs="Roboto" w:eastAsia="Roboto" w:hAnsi="Roboto"/>
                <w:sz w:val="20"/>
                <w:szCs w:val="20"/>
                <w:rtl w:val="0"/>
              </w:rPr>
              <w:t xml:space="preserve">Charge</w:t>
            </w:r>
          </w:p>
        </w:tc>
        <w:tc>
          <w:tcPr>
            <w:tcBorders>
              <w:left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Roboto" w:cs="Roboto" w:eastAsia="Roboto" w:hAnsi="Roboto"/>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Roboto" w:cs="Roboto" w:eastAsia="Roboto" w:hAnsi="Roboto"/>
                <w:color w:val="0000ff"/>
                <w:sz w:val="20"/>
                <w:szCs w:val="20"/>
              </w:rPr>
            </w:pPr>
            <w:r w:rsidDel="00000000" w:rsidR="00000000" w:rsidRPr="00000000">
              <w:rPr>
                <w:rtl w:val="0"/>
              </w:rPr>
            </w:r>
          </w:p>
        </w:tc>
      </w:tr>
    </w:tbl>
    <w:p w:rsidR="00000000" w:rsidDel="00000000" w:rsidP="00000000" w:rsidRDefault="00000000" w:rsidRPr="00000000" w14:paraId="0000005C">
      <w:pPr>
        <w:spacing w:line="276.0005454545455" w:lineRule="auto"/>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D">
      <w:pPr>
        <w:pStyle w:val="Heading2"/>
        <w:spacing w:line="276.0005454545455" w:lineRule="auto"/>
        <w:ind w:left="0" w:firstLine="0"/>
        <w:rPr/>
      </w:pPr>
      <w:bookmarkStart w:colFirst="0" w:colLast="0" w:name="_u0qchvzib7if" w:id="10"/>
      <w:bookmarkEnd w:id="10"/>
      <w:r w:rsidDel="00000000" w:rsidR="00000000" w:rsidRPr="00000000">
        <w:rPr>
          <w:rtl w:val="0"/>
        </w:rPr>
        <w:t xml:space="preserve">Drawing conclusions</w:t>
      </w:r>
    </w:p>
    <w:p w:rsidR="00000000" w:rsidDel="00000000" w:rsidP="00000000" w:rsidRDefault="00000000" w:rsidRPr="00000000" w14:paraId="0000005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following questions.</w:t>
      </w:r>
    </w:p>
    <w:p w:rsidR="00000000" w:rsidDel="00000000" w:rsidP="00000000" w:rsidRDefault="00000000" w:rsidRPr="00000000" w14:paraId="0000005F">
      <w:pPr>
        <w:rPr>
          <w:rFonts w:ascii="Calibri" w:cs="Calibri" w:eastAsia="Calibri" w:hAnsi="Calibri"/>
          <w:b w:val="1"/>
          <w:sz w:val="28"/>
          <w:szCs w:val="28"/>
        </w:rPr>
      </w:pPr>
      <w:r w:rsidDel="00000000" w:rsidR="00000000" w:rsidRPr="00000000">
        <w:rPr>
          <w:rtl w:val="0"/>
        </w:rPr>
      </w:r>
    </w:p>
    <w:tbl>
      <w:tblPr>
        <w:tblStyle w:val="Table6"/>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65"/>
        <w:tblGridChange w:id="0">
          <w:tblGrid>
            <w:gridCol w:w="4140"/>
            <w:gridCol w:w="526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Do the sequences for normal and sickle hemoglobin differ? If so,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How do you think the differences affect protein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66">
      <w:pPr>
        <w:spacing w:line="276.0005454545455" w:lineRule="auto"/>
        <w:rPr>
          <w:rFonts w:ascii="Roboto" w:cs="Roboto" w:eastAsia="Roboto" w:hAnsi="Roboto"/>
          <w:color w:val="0b5394"/>
          <w:sz w:val="36"/>
          <w:szCs w:val="36"/>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Closer Look at the Cause of Sickle Cell</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Closer Look at the Cause of Sickle Cell</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6"/>
      <w:szCs w:val="26"/>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