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4425"/>
        <w:gridCol w:w="705"/>
        <w:gridCol w:w="1470"/>
        <w:gridCol w:w="555"/>
        <w:gridCol w:w="1830"/>
        <w:tblGridChange w:id="0">
          <w:tblGrid>
            <w:gridCol w:w="1170"/>
            <w:gridCol w:w="4425"/>
            <w:gridCol w:w="705"/>
            <w:gridCol w:w="1470"/>
            <w:gridCol w:w="555"/>
            <w:gridCol w:w="18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5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Period: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Period]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[insert date]</w:t>
            </w:r>
          </w:p>
        </w:tc>
      </w:tr>
    </w:tbl>
    <w:p w:rsidR="00000000" w:rsidDel="00000000" w:rsidP="00000000" w:rsidRDefault="00000000" w:rsidRPr="00000000" w14:paraId="0000000B">
      <w:pPr>
        <w:pStyle w:val="Title"/>
        <w:rPr>
          <w:rFonts w:ascii="Roboto" w:cs="Roboto" w:eastAsia="Roboto" w:hAnsi="Roboto"/>
          <w:color w:val="0b5394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rFonts w:ascii="Roboto" w:cs="Roboto" w:eastAsia="Roboto" w:hAnsi="Roboto"/>
          <w:color w:val="0b5394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Electrophoresis Analysis</w:t>
      </w:r>
    </w:p>
    <w:p w:rsidR="00000000" w:rsidDel="00000000" w:rsidP="00000000" w:rsidRDefault="00000000" w:rsidRPr="00000000" w14:paraId="0000000D">
      <w:pPr>
        <w:pStyle w:val="Heading1"/>
        <w:rPr>
          <w:rFonts w:ascii="Roboto" w:cs="Roboto" w:eastAsia="Roboto" w:hAnsi="Roboto"/>
          <w:color w:val="0b5394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Fonts w:ascii="Roboto" w:cs="Roboto" w:eastAsia="Roboto" w:hAnsi="Roboto"/>
          <w:color w:val="0b5394"/>
          <w:sz w:val="32"/>
          <w:szCs w:val="32"/>
          <w:rtl w:val="0"/>
        </w:rPr>
        <w:t xml:space="preserve">Background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 better understand how sickle cell anemia is caused, scientists have used molecular biology techniques, like gel electrophoresis.  This is a technique that uses electricity to cause samples to move and sometimes separate.  </w:t>
      </w:r>
    </w:p>
    <w:p w:rsidR="00000000" w:rsidDel="00000000" w:rsidP="00000000" w:rsidRDefault="00000000" w:rsidRPr="00000000" w14:paraId="0000000F">
      <w:pPr>
        <w:pStyle w:val="Heading2"/>
        <w:rPr>
          <w:rFonts w:ascii="Roboto" w:cs="Roboto" w:eastAsia="Roboto" w:hAnsi="Roboto"/>
          <w:color w:val="0b5394"/>
        </w:rPr>
      </w:pPr>
      <w:bookmarkStart w:colFirst="0" w:colLast="0" w:name="_heading=h.3znysh7" w:id="3"/>
      <w:bookmarkEnd w:id="3"/>
      <w:r w:rsidDel="00000000" w:rsidR="00000000" w:rsidRPr="00000000">
        <w:rPr>
          <w:rFonts w:ascii="Roboto" w:cs="Roboto" w:eastAsia="Roboto" w:hAnsi="Roboto"/>
          <w:color w:val="0b5394"/>
          <w:rtl w:val="0"/>
        </w:rPr>
        <w:t xml:space="preserve">Video Questions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Watch the video “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Mystery of the Crooked Cell: Investigating the Heredity of a Blood Disorder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” and answer the questions below.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265"/>
        <w:tblGridChange w:id="0">
          <w:tblGrid>
            <w:gridCol w:w="4140"/>
            <w:gridCol w:w="5265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Question/Prompt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Your 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Why is it important to include normal and sickle hemoglobin in our patient’s test?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[Answers are intentionally BLUE]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Which end of the electrophoresis chamber will the hemoglobin be attracted to? (Highlight your response.)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Positive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Negative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Neither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Both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How will we be able to differentiate between the hemoglobin samples if they are all migrating to the same end of the gel? (Highlight your response.)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You can’t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Varying charges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Size fragments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Voltage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What type of hemoglobin do you expect to be more attracted to the positive end of the gel? (Highlight your response.)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Normal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Sickle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198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They will be attracted equally</w:t>
            </w:r>
          </w:p>
        </w:tc>
      </w:tr>
    </w:tbl>
    <w:p w:rsidR="00000000" w:rsidDel="00000000" w:rsidP="00000000" w:rsidRDefault="00000000" w:rsidRPr="00000000" w14:paraId="00000024">
      <w:pPr>
        <w:pStyle w:val="Heading2"/>
        <w:spacing w:line="276.0005454545455" w:lineRule="auto"/>
        <w:rPr/>
      </w:pPr>
      <w:bookmarkStart w:colFirst="0" w:colLast="0" w:name="_heading=h.2et92p0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line="276.0005454545455" w:lineRule="auto"/>
        <w:rPr/>
      </w:pPr>
      <w:bookmarkStart w:colFirst="0" w:colLast="0" w:name="_heading=h.9k9wzyomtf6r" w:id="5"/>
      <w:bookmarkEnd w:id="5"/>
      <w:r w:rsidDel="00000000" w:rsidR="00000000" w:rsidRPr="00000000">
        <w:rPr>
          <w:rtl w:val="0"/>
        </w:rPr>
        <w:t xml:space="preserve">Drawing Conclusions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View the following patient result and answer the following question.</w:t>
      </w:r>
    </w:p>
    <w:p w:rsidR="00000000" w:rsidDel="00000000" w:rsidP="00000000" w:rsidRDefault="00000000" w:rsidRPr="00000000" w14:paraId="00000027">
      <w:pPr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3067050" cy="30480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12475" y="2256000"/>
                          <a:ext cx="3067050" cy="3048000"/>
                          <a:chOff x="3812475" y="2256000"/>
                          <a:chExt cx="3067050" cy="3048000"/>
                        </a:xfrm>
                      </wpg:grpSpPr>
                      <wpg:grpSp>
                        <wpg:cNvGrpSpPr/>
                        <wpg:grpSpPr>
                          <a:xfrm>
                            <a:off x="3812475" y="2256000"/>
                            <a:ext cx="3067050" cy="3048000"/>
                            <a:chOff x="686200" y="1686075"/>
                            <a:chExt cx="3048649" cy="302904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86200" y="1686075"/>
                              <a:ext cx="3048625" cy="302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Electrophoresis Result.jpg"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15664" l="13155" r="11712" t="28346"/>
                            <a:stretch/>
                          </pic:blipFill>
                          <pic:spPr>
                            <a:xfrm>
                              <a:off x="686200" y="1686075"/>
                              <a:ext cx="3048649" cy="3029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1372375" y="2362450"/>
                              <a:ext cx="1146900" cy="32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N      S      P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067050" cy="3048000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3048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265"/>
        <w:tblGridChange w:id="0">
          <w:tblGrid>
            <w:gridCol w:w="4140"/>
            <w:gridCol w:w="5265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Question/Prompt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Your Response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Based on the given result, is the patient sample (in the third well) healthy or sickle cell anemic?  How do you know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0"/>
                <w:szCs w:val="20"/>
                <w:rtl w:val="0"/>
              </w:rPr>
              <w:t xml:space="preserve">[Answers are intentionally BLUE]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MYSTERY OF THE CROOKED CELL :  Electrophoresis Analysis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MYSTERY OF THE CROOKED CELL :  Electrophoresis Analysis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" w:cs="Roboto" w:eastAsia="Roboto" w:hAnsi="Roboto"/>
      <w:color w:val="0b539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imeo.com/405925057" TargetMode="External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qmrEuPKaGf2YukhGeF55HaR3A==">AMUW2mU63xrwlRo4W5mYEeUbHpgjyKDw9+T4Mi6NT383ocSaBMJbKS+ZaPEpUEc/4gQZUboS11j2urW9lvNJQBSOX921ufqcEaNUz0Zo/3m+Zjzv4JNrXxOdplu6eRifxw/T/Ii247N37BLpOrAYWLVPvrkJEIw3ui2EyjkRmP7QdiZmtR7ZfBVxqhk8MiJsH4sHg7G0wiET4Kw+qC1/pSqSubG0siCZNA==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