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Gene Regulation in Eukaryotes</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i w:val="1"/>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r w:rsidDel="00000000" w:rsidR="00000000" w:rsidRPr="00000000">
        <w:rPr>
          <w:rtl w:val="0"/>
        </w:rPr>
      </w:r>
    </w:p>
    <w:p w:rsidR="00000000" w:rsidDel="00000000" w:rsidP="00000000" w:rsidRDefault="00000000" w:rsidRPr="00000000" w14:paraId="0000000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last tests run by doctors showed that Maria did not have a mutation in the lactase gene (</w:t>
      </w:r>
      <w:r w:rsidDel="00000000" w:rsidR="00000000" w:rsidRPr="00000000">
        <w:rPr>
          <w:rFonts w:ascii="Roboto" w:cs="Roboto" w:eastAsia="Roboto" w:hAnsi="Roboto"/>
          <w:i w:val="1"/>
          <w:sz w:val="20"/>
          <w:szCs w:val="20"/>
          <w:rtl w:val="0"/>
        </w:rPr>
        <w:t xml:space="preserve">LCT</w:t>
      </w:r>
      <w:r w:rsidDel="00000000" w:rsidR="00000000" w:rsidRPr="00000000">
        <w:rPr>
          <w:rFonts w:ascii="Roboto" w:cs="Roboto" w:eastAsia="Roboto" w:hAnsi="Roboto"/>
          <w:sz w:val="20"/>
          <w:szCs w:val="20"/>
          <w:rtl w:val="0"/>
        </w:rPr>
        <w:t xml:space="preserve">) and that she did not have any lactase mRNA.  This means that the gene was not being transcribed and therefore there was no protein to break down any present lactose.</w:t>
      </w:r>
    </w:p>
    <w:p w:rsidR="00000000" w:rsidDel="00000000" w:rsidP="00000000" w:rsidRDefault="00000000" w:rsidRPr="00000000" w14:paraId="0000000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Maria’s genetic tests did show another mutation that the doctors think might play a role in her lactose intolerance.</w:t>
      </w:r>
    </w:p>
    <w:p w:rsidR="00000000" w:rsidDel="00000000" w:rsidP="00000000" w:rsidRDefault="00000000" w:rsidRPr="00000000" w14:paraId="00000011">
      <w:pPr>
        <w:pStyle w:val="Heading2"/>
        <w:rPr>
          <w:rFonts w:ascii="Roboto" w:cs="Roboto" w:eastAsia="Roboto" w:hAnsi="Roboto"/>
          <w:color w:val="0b5394"/>
          <w:sz w:val="28"/>
          <w:szCs w:val="28"/>
        </w:rPr>
      </w:pPr>
      <w:bookmarkStart w:colFirst="0" w:colLast="0" w:name="_heading=h.y3e6roso4kaf" w:id="2"/>
      <w:bookmarkEnd w:id="2"/>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2"/>
        <w:rPr>
          <w:rFonts w:ascii="Roboto" w:cs="Roboto" w:eastAsia="Roboto" w:hAnsi="Roboto"/>
          <w:i w:val="1"/>
          <w:sz w:val="20"/>
          <w:szCs w:val="20"/>
        </w:rPr>
      </w:pPr>
      <w:bookmarkStart w:colFirst="0" w:colLast="0" w:name="_heading=h.k9avj7h4zvuq" w:id="3"/>
      <w:bookmarkEnd w:id="3"/>
      <w:r w:rsidDel="00000000" w:rsidR="00000000" w:rsidRPr="00000000">
        <w:rPr>
          <w:rFonts w:ascii="Roboto" w:cs="Roboto" w:eastAsia="Roboto" w:hAnsi="Roboto"/>
          <w:i w:val="0"/>
          <w:color w:val="0b5394"/>
          <w:sz w:val="28"/>
          <w:szCs w:val="28"/>
          <w:rtl w:val="0"/>
        </w:rPr>
        <w:t xml:space="preserve">Looking at </w:t>
      </w:r>
      <w:r w:rsidDel="00000000" w:rsidR="00000000" w:rsidRPr="00000000">
        <w:rPr>
          <w:rFonts w:ascii="Roboto" w:cs="Roboto" w:eastAsia="Roboto" w:hAnsi="Roboto"/>
          <w:i w:val="1"/>
          <w:color w:val="0b5394"/>
          <w:sz w:val="28"/>
          <w:szCs w:val="28"/>
          <w:rtl w:val="0"/>
        </w:rPr>
        <w:t xml:space="preserve">MCM6</w:t>
      </w:r>
      <w:r w:rsidDel="00000000" w:rsidR="00000000" w:rsidRPr="00000000">
        <w:rPr>
          <w:rtl w:val="0"/>
        </w:rPr>
      </w:r>
    </w:p>
    <w:p w:rsidR="00000000" w:rsidDel="00000000" w:rsidP="00000000" w:rsidRDefault="00000000" w:rsidRPr="00000000" w14:paraId="00000013">
      <w:pP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Though Maria’s genetic test showed no mutations in the </w:t>
      </w:r>
      <w:r w:rsidDel="00000000" w:rsidR="00000000" w:rsidRPr="00000000">
        <w:rPr>
          <w:rFonts w:ascii="Roboto" w:cs="Roboto" w:eastAsia="Roboto" w:hAnsi="Roboto"/>
          <w:i w:val="1"/>
          <w:sz w:val="20"/>
          <w:szCs w:val="20"/>
          <w:highlight w:val="white"/>
          <w:rtl w:val="0"/>
        </w:rPr>
        <w:t xml:space="preserve">LCT</w:t>
      </w:r>
      <w:r w:rsidDel="00000000" w:rsidR="00000000" w:rsidRPr="00000000">
        <w:rPr>
          <w:rFonts w:ascii="Roboto" w:cs="Roboto" w:eastAsia="Roboto" w:hAnsi="Roboto"/>
          <w:sz w:val="20"/>
          <w:szCs w:val="20"/>
          <w:highlight w:val="white"/>
          <w:rtl w:val="0"/>
        </w:rPr>
        <w:t xml:space="preserve"> gene, it did show a single nucleotide polymorphism (SNP) about 14,000 base pairs upstream of </w:t>
      </w:r>
      <w:r w:rsidDel="00000000" w:rsidR="00000000" w:rsidRPr="00000000">
        <w:rPr>
          <w:rFonts w:ascii="Roboto" w:cs="Roboto" w:eastAsia="Roboto" w:hAnsi="Roboto"/>
          <w:i w:val="1"/>
          <w:sz w:val="20"/>
          <w:szCs w:val="20"/>
          <w:highlight w:val="white"/>
          <w:rtl w:val="0"/>
        </w:rPr>
        <w:t xml:space="preserve">LCT </w:t>
      </w:r>
      <w:r w:rsidDel="00000000" w:rsidR="00000000" w:rsidRPr="00000000">
        <w:rPr>
          <w:rFonts w:ascii="Roboto" w:cs="Roboto" w:eastAsia="Roboto" w:hAnsi="Roboto"/>
          <w:sz w:val="20"/>
          <w:szCs w:val="20"/>
          <w:highlight w:val="white"/>
          <w:rtl w:val="0"/>
        </w:rPr>
        <w:t xml:space="preserve">in another gene called </w:t>
      </w:r>
      <w:r w:rsidDel="00000000" w:rsidR="00000000" w:rsidRPr="00000000">
        <w:rPr>
          <w:rFonts w:ascii="Roboto" w:cs="Roboto" w:eastAsia="Roboto" w:hAnsi="Roboto"/>
          <w:i w:val="1"/>
          <w:sz w:val="20"/>
          <w:szCs w:val="20"/>
          <w:highlight w:val="white"/>
          <w:rtl w:val="0"/>
        </w:rPr>
        <w:t xml:space="preserve">MCM6</w:t>
      </w:r>
      <w:r w:rsidDel="00000000" w:rsidR="00000000" w:rsidRPr="00000000">
        <w:rPr>
          <w:rFonts w:ascii="Roboto" w:cs="Roboto" w:eastAsia="Roboto" w:hAnsi="Roboto"/>
          <w:sz w:val="20"/>
          <w:szCs w:val="20"/>
          <w:highlight w:val="white"/>
          <w:rtl w:val="0"/>
        </w:rPr>
        <w:t xml:space="preserve">.</w:t>
      </w:r>
      <w:r w:rsidDel="00000000" w:rsidR="00000000" w:rsidRPr="00000000">
        <w:rPr>
          <w:rFonts w:ascii="Roboto" w:cs="Roboto" w:eastAsia="Roboto" w:hAnsi="Roboto"/>
          <w:sz w:val="20"/>
          <w:szCs w:val="20"/>
          <w:highlight w:val="white"/>
          <w:rtl w:val="0"/>
        </w:rPr>
        <w:t xml:space="preserve">The </w:t>
      </w:r>
      <w:r w:rsidDel="00000000" w:rsidR="00000000" w:rsidRPr="00000000">
        <w:rPr>
          <w:rFonts w:ascii="Roboto" w:cs="Roboto" w:eastAsia="Roboto" w:hAnsi="Roboto"/>
          <w:i w:val="1"/>
          <w:sz w:val="20"/>
          <w:szCs w:val="20"/>
          <w:highlight w:val="white"/>
          <w:rtl w:val="0"/>
        </w:rPr>
        <w:t xml:space="preserve">MCM6</w:t>
      </w:r>
      <w:r w:rsidDel="00000000" w:rsidR="00000000" w:rsidRPr="00000000">
        <w:rPr>
          <w:rFonts w:ascii="Roboto" w:cs="Roboto" w:eastAsia="Roboto" w:hAnsi="Roboto"/>
          <w:sz w:val="20"/>
          <w:szCs w:val="20"/>
          <w:highlight w:val="white"/>
          <w:rtl w:val="0"/>
        </w:rPr>
        <w:t xml:space="preserve"> gene provides instructions for making part of the MCM complex, a group of proteins that functions as a helicase. Helicases attach to particular regions of DNA and temporarily unwind the two spiral strands of these molecules for transcription and replication.</w:t>
      </w:r>
      <w:r w:rsidDel="00000000" w:rsidR="00000000" w:rsidRPr="00000000">
        <w:rPr>
          <w:rtl w:val="0"/>
        </w:rPr>
      </w:r>
    </w:p>
    <w:p w:rsidR="00000000" w:rsidDel="00000000" w:rsidP="00000000" w:rsidRDefault="00000000" w:rsidRPr="00000000" w14:paraId="00000014">
      <w:pP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 </w:t>
      </w:r>
    </w:p>
    <w:p w:rsidR="00000000" w:rsidDel="00000000" w:rsidP="00000000" w:rsidRDefault="00000000" w:rsidRPr="00000000" w14:paraId="00000015">
      <w:pP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13,910 bp before the start of the </w:t>
      </w:r>
      <w:r w:rsidDel="00000000" w:rsidR="00000000" w:rsidRPr="00000000">
        <w:rPr>
          <w:rFonts w:ascii="Roboto" w:cs="Roboto" w:eastAsia="Roboto" w:hAnsi="Roboto"/>
          <w:i w:val="1"/>
          <w:sz w:val="20"/>
          <w:szCs w:val="20"/>
          <w:highlight w:val="white"/>
          <w:rtl w:val="0"/>
        </w:rPr>
        <w:t xml:space="preserve">LCT</w:t>
      </w:r>
      <w:r w:rsidDel="00000000" w:rsidR="00000000" w:rsidRPr="00000000">
        <w:rPr>
          <w:rFonts w:ascii="Roboto" w:cs="Roboto" w:eastAsia="Roboto" w:hAnsi="Roboto"/>
          <w:sz w:val="20"/>
          <w:szCs w:val="20"/>
          <w:highlight w:val="white"/>
          <w:rtl w:val="0"/>
        </w:rPr>
        <w:t xml:space="preserve"> gene and within the </w:t>
      </w:r>
      <w:r w:rsidDel="00000000" w:rsidR="00000000" w:rsidRPr="00000000">
        <w:rPr>
          <w:rFonts w:ascii="Roboto" w:cs="Roboto" w:eastAsia="Roboto" w:hAnsi="Roboto"/>
          <w:i w:val="1"/>
          <w:sz w:val="20"/>
          <w:szCs w:val="20"/>
          <w:highlight w:val="white"/>
          <w:rtl w:val="0"/>
        </w:rPr>
        <w:t xml:space="preserve">MCM6</w:t>
      </w:r>
      <w:r w:rsidDel="00000000" w:rsidR="00000000" w:rsidRPr="00000000">
        <w:rPr>
          <w:rFonts w:ascii="Roboto" w:cs="Roboto" w:eastAsia="Roboto" w:hAnsi="Roboto"/>
          <w:sz w:val="20"/>
          <w:szCs w:val="20"/>
          <w:highlight w:val="white"/>
          <w:rtl w:val="0"/>
        </w:rPr>
        <w:t xml:space="preserve"> gene, Maria was found to have the base cytosine present on both chromosomes.  Below shows the lactase activity for people with the same SNP  pairing (CC) compared to two other pairings (TC and TT).</w:t>
      </w:r>
    </w:p>
    <w:p w:rsidR="00000000" w:rsidDel="00000000" w:rsidP="00000000" w:rsidRDefault="00000000" w:rsidRPr="00000000" w14:paraId="00000016">
      <w:pPr>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17">
      <w:pPr>
        <w:jc w:val="center"/>
        <w:rPr>
          <w:rFonts w:ascii="Roboto" w:cs="Roboto" w:eastAsia="Roboto" w:hAnsi="Roboto"/>
          <w:color w:val="551a8b"/>
          <w:sz w:val="16"/>
          <w:szCs w:val="16"/>
          <w:highlight w:val="white"/>
          <w:u w:val="single"/>
        </w:rPr>
      </w:pPr>
      <w:r w:rsidDel="00000000" w:rsidR="00000000" w:rsidRPr="00000000">
        <w:rPr>
          <w:rFonts w:ascii="Roboto" w:cs="Roboto" w:eastAsia="Roboto" w:hAnsi="Roboto"/>
          <w:color w:val="551a8b"/>
          <w:sz w:val="16"/>
          <w:szCs w:val="16"/>
          <w:highlight w:val="white"/>
          <w:u w:val="single"/>
        </w:rPr>
        <w:drawing>
          <wp:inline distB="114300" distT="114300" distL="114300" distR="114300">
            <wp:extent cx="3586163" cy="3679008"/>
            <wp:effectExtent b="0" l="0" r="0" t="0"/>
            <wp:docPr id="3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586163" cy="367900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9">
      <w:pPr>
        <w:pStyle w:val="Heading3"/>
        <w:rPr>
          <w:rFonts w:ascii="Roboto" w:cs="Roboto" w:eastAsia="Roboto" w:hAnsi="Roboto"/>
          <w:i w:val="1"/>
          <w:color w:val="0b5394"/>
        </w:rPr>
      </w:pPr>
      <w:bookmarkStart w:colFirst="0" w:colLast="0" w:name="_heading=h.8b110iq2507p" w:id="4"/>
      <w:bookmarkEnd w:id="4"/>
      <w:r w:rsidDel="00000000" w:rsidR="00000000" w:rsidRPr="00000000">
        <w:rPr>
          <w:rFonts w:ascii="Roboto" w:cs="Roboto" w:eastAsia="Roboto" w:hAnsi="Roboto"/>
          <w:i w:val="1"/>
          <w:color w:val="0b5394"/>
          <w:rtl w:val="0"/>
        </w:rPr>
        <w:t xml:space="preserve">Drawing Inferences</w:t>
      </w:r>
    </w:p>
    <w:p w:rsidR="00000000" w:rsidDel="00000000" w:rsidP="00000000" w:rsidRDefault="00000000" w:rsidRPr="00000000" w14:paraId="0000001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the graph above to answer the following question.</w:t>
      </w:r>
    </w:p>
    <w:p w:rsidR="00000000" w:rsidDel="00000000" w:rsidP="00000000" w:rsidRDefault="00000000" w:rsidRPr="00000000" w14:paraId="0000001B">
      <w:pPr>
        <w:rPr>
          <w:rFonts w:ascii="Roboto" w:cs="Roboto" w:eastAsia="Roboto" w:hAnsi="Roboto"/>
          <w:sz w:val="20"/>
          <w:szCs w:val="20"/>
        </w:rPr>
      </w:pPr>
      <w:r w:rsidDel="00000000" w:rsidR="00000000" w:rsidRPr="00000000">
        <w:rPr>
          <w:rtl w:val="0"/>
        </w:rPr>
      </w:r>
    </w:p>
    <w:tbl>
      <w:tblPr>
        <w:tblStyle w:val="Table2"/>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90"/>
        <w:gridCol w:w="4530"/>
        <w:tblGridChange w:id="0">
          <w:tblGrid>
            <w:gridCol w:w="4590"/>
            <w:gridCol w:w="453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C">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tcBorders>
              <w:top w:color="000000" w:space="0" w:sz="8" w:val="single"/>
              <w:left w:color="000000" w:space="0" w:sz="0" w:val="nil"/>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D">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Based on the graph above, do you think Maria’s SNP (CC at 13,910 before </w:t>
            </w:r>
            <w:r w:rsidDel="00000000" w:rsidR="00000000" w:rsidRPr="00000000">
              <w:rPr>
                <w:rFonts w:ascii="Roboto" w:cs="Roboto" w:eastAsia="Roboto" w:hAnsi="Roboto"/>
                <w:i w:val="1"/>
                <w:sz w:val="20"/>
                <w:szCs w:val="20"/>
                <w:rtl w:val="0"/>
              </w:rPr>
              <w:t xml:space="preserve">LCT)</w:t>
            </w:r>
            <w:r w:rsidDel="00000000" w:rsidR="00000000" w:rsidRPr="00000000">
              <w:rPr>
                <w:rFonts w:ascii="Roboto" w:cs="Roboto" w:eastAsia="Roboto" w:hAnsi="Roboto"/>
                <w:sz w:val="20"/>
                <w:szCs w:val="20"/>
                <w:rtl w:val="0"/>
              </w:rPr>
              <w:t xml:space="preserve"> plays a role in lactase expression? Why or why not?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 </w:t>
            </w:r>
          </w:p>
        </w:tc>
      </w:tr>
    </w:tbl>
    <w:p w:rsidR="00000000" w:rsidDel="00000000" w:rsidP="00000000" w:rsidRDefault="00000000" w:rsidRPr="00000000" w14:paraId="00000020">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1">
      <w:pPr>
        <w:pStyle w:val="Heading2"/>
        <w:rPr/>
      </w:pPr>
      <w:bookmarkStart w:colFirst="0" w:colLast="0" w:name="_heading=h.vqf0pc65n2u9" w:id="5"/>
      <w:bookmarkEnd w:id="5"/>
      <w:r w:rsidDel="00000000" w:rsidR="00000000" w:rsidRPr="00000000">
        <w:rPr>
          <w:rtl w:val="0"/>
        </w:rPr>
        <w:t xml:space="preserve">Gathering Information</w:t>
      </w:r>
    </w:p>
    <w:p w:rsidR="00000000" w:rsidDel="00000000" w:rsidP="00000000" w:rsidRDefault="00000000" w:rsidRPr="00000000" w14:paraId="0000002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Watch HeyNowScience’s video “</w:t>
      </w:r>
      <w:hyperlink r:id="rId8">
        <w:r w:rsidDel="00000000" w:rsidR="00000000" w:rsidRPr="00000000">
          <w:rPr>
            <w:rFonts w:ascii="Roboto" w:cs="Roboto" w:eastAsia="Roboto" w:hAnsi="Roboto"/>
            <w:color w:val="1155cc"/>
            <w:sz w:val="20"/>
            <w:szCs w:val="20"/>
            <w:u w:val="single"/>
            <w:rtl w:val="0"/>
          </w:rPr>
          <w:t xml:space="preserve">Eukaryotic Gene Regulation</w:t>
        </w:r>
      </w:hyperlink>
      <w:r w:rsidDel="00000000" w:rsidR="00000000" w:rsidRPr="00000000">
        <w:rPr>
          <w:rFonts w:ascii="Roboto" w:cs="Roboto" w:eastAsia="Roboto" w:hAnsi="Roboto"/>
          <w:sz w:val="20"/>
          <w:szCs w:val="20"/>
          <w:rtl w:val="0"/>
        </w:rPr>
        <w:t xml:space="preserve">” (from 9:01-12:49) and answer the questions below.</w:t>
      </w:r>
    </w:p>
    <w:p w:rsidR="00000000" w:rsidDel="00000000" w:rsidP="00000000" w:rsidRDefault="00000000" w:rsidRPr="00000000" w14:paraId="00000023">
      <w:pPr>
        <w:rPr>
          <w:rFonts w:ascii="Roboto" w:cs="Roboto" w:eastAsia="Roboto" w:hAnsi="Roboto"/>
          <w:sz w:val="20"/>
          <w:szCs w:val="20"/>
        </w:rPr>
      </w:pPr>
      <w:r w:rsidDel="00000000" w:rsidR="00000000" w:rsidRPr="00000000">
        <w:rPr>
          <w:rtl w:val="0"/>
        </w:rPr>
      </w:r>
    </w:p>
    <w:tbl>
      <w:tblPr>
        <w:tblStyle w:val="Table3"/>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90"/>
        <w:gridCol w:w="4530"/>
        <w:tblGridChange w:id="0">
          <w:tblGrid>
            <w:gridCol w:w="4590"/>
            <w:gridCol w:w="453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4">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tcBorders>
              <w:top w:color="000000" w:space="0" w:sz="8" w:val="single"/>
              <w:left w:color="000000" w:space="0" w:sz="0" w:val="nil"/>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5">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After watching the video, what role do you think the </w:t>
            </w:r>
            <w:r w:rsidDel="00000000" w:rsidR="00000000" w:rsidRPr="00000000">
              <w:rPr>
                <w:rFonts w:ascii="Roboto" w:cs="Roboto" w:eastAsia="Roboto" w:hAnsi="Roboto"/>
                <w:i w:val="1"/>
                <w:sz w:val="20"/>
                <w:szCs w:val="20"/>
                <w:rtl w:val="0"/>
              </w:rPr>
              <w:t xml:space="preserve">MCM6</w:t>
            </w:r>
            <w:r w:rsidDel="00000000" w:rsidR="00000000" w:rsidRPr="00000000">
              <w:rPr>
                <w:rFonts w:ascii="Roboto" w:cs="Roboto" w:eastAsia="Roboto" w:hAnsi="Roboto"/>
                <w:sz w:val="20"/>
                <w:szCs w:val="20"/>
                <w:rtl w:val="0"/>
              </w:rPr>
              <w:t xml:space="preserve"> gene plays in </w:t>
            </w:r>
            <w:r w:rsidDel="00000000" w:rsidR="00000000" w:rsidRPr="00000000">
              <w:rPr>
                <w:rFonts w:ascii="Roboto" w:cs="Roboto" w:eastAsia="Roboto" w:hAnsi="Roboto"/>
                <w:i w:val="1"/>
                <w:sz w:val="20"/>
                <w:szCs w:val="20"/>
                <w:rtl w:val="0"/>
              </w:rPr>
              <w:t xml:space="preserve">LCT</w:t>
            </w:r>
            <w:r w:rsidDel="00000000" w:rsidR="00000000" w:rsidRPr="00000000">
              <w:rPr>
                <w:rFonts w:ascii="Roboto" w:cs="Roboto" w:eastAsia="Roboto" w:hAnsi="Roboto"/>
                <w:sz w:val="20"/>
                <w:szCs w:val="20"/>
                <w:rtl w:val="0"/>
              </w:rPr>
              <w:t xml:space="preserve"> expression?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 </w:t>
            </w:r>
          </w:p>
        </w:tc>
      </w:tr>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How does Maria’s SNP affect </w:t>
            </w:r>
            <w:r w:rsidDel="00000000" w:rsidR="00000000" w:rsidRPr="00000000">
              <w:rPr>
                <w:rFonts w:ascii="Roboto" w:cs="Roboto" w:eastAsia="Roboto" w:hAnsi="Roboto"/>
                <w:i w:val="1"/>
                <w:sz w:val="20"/>
                <w:szCs w:val="20"/>
                <w:rtl w:val="0"/>
              </w:rPr>
              <w:t xml:space="preserve">LCT </w:t>
            </w:r>
            <w:r w:rsidDel="00000000" w:rsidR="00000000" w:rsidRPr="00000000">
              <w:rPr>
                <w:rFonts w:ascii="Roboto" w:cs="Roboto" w:eastAsia="Roboto" w:hAnsi="Roboto"/>
                <w:sz w:val="20"/>
                <w:szCs w:val="20"/>
                <w:rtl w:val="0"/>
              </w:rPr>
              <w:t xml:space="preserve">expression?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2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spacing w:after="240" w:before="240" w:lineRule="auto"/>
        <w:ind w:left="0" w:firstLine="0"/>
        <w:rPr>
          <w:rFonts w:ascii="Roboto" w:cs="Roboto" w:eastAsia="Roboto" w:hAnsi="Roboto"/>
          <w:color w:val="999999"/>
          <w:sz w:val="16"/>
          <w:szCs w:val="16"/>
        </w:rPr>
      </w:pPr>
      <w:sdt>
        <w:sdtPr>
          <w:tag w:val="goog_rdk_0"/>
        </w:sdtPr>
        <w:sdtContent>
          <w:r w:rsidDel="00000000" w:rsidR="00000000" w:rsidRPr="00000000">
            <w:rPr>
              <w:rFonts w:ascii="Nova Mono" w:cs="Nova Mono" w:eastAsia="Nova Mono" w:hAnsi="Nova Mono"/>
              <w:color w:val="999999"/>
              <w:sz w:val="16"/>
              <w:szCs w:val="16"/>
              <w:rtl w:val="0"/>
            </w:rPr>
            <w:t xml:space="preserve">Data from Baffour-Awuah, N. Y., Fleet, S., Montgomery, R. K., Baker, S. S., Butler, J. L., Campbell, C., Tischfield, S., Mitchell, P. D., Moon, J.E., Allende-Richter, S., Fishman, L. Bousvaros, A., Fox, V., Kuokkanen, M., Montgomery, R. K., Grand, R. J., &amp; Hirschhorn, J. N. (2015). Functional Significance of Single Nucleotide Polymorphisms in the Lactase Gene in Diverse US Patients and Evidence for a Novel Lactase Persistence Allele at −13909 in Those of European Ancestry. </w:t>
          </w:r>
        </w:sdtContent>
      </w:sdt>
      <w:r w:rsidDel="00000000" w:rsidR="00000000" w:rsidRPr="00000000">
        <w:rPr>
          <w:rFonts w:ascii="Roboto" w:cs="Roboto" w:eastAsia="Roboto" w:hAnsi="Roboto"/>
          <w:i w:val="1"/>
          <w:color w:val="999999"/>
          <w:sz w:val="16"/>
          <w:szCs w:val="16"/>
          <w:rtl w:val="0"/>
        </w:rPr>
        <w:t xml:space="preserve">Journal of Pediatric Gastroenterology and Nutrition,</w:t>
      </w:r>
      <w:r w:rsidDel="00000000" w:rsidR="00000000" w:rsidRPr="00000000">
        <w:rPr>
          <w:rFonts w:ascii="Roboto" w:cs="Roboto" w:eastAsia="Roboto" w:hAnsi="Roboto"/>
          <w:color w:val="999999"/>
          <w:sz w:val="16"/>
          <w:szCs w:val="16"/>
          <w:rtl w:val="0"/>
        </w:rPr>
        <w:t xml:space="preserve"> </w:t>
      </w:r>
      <w:r w:rsidDel="00000000" w:rsidR="00000000" w:rsidRPr="00000000">
        <w:rPr>
          <w:rFonts w:ascii="Roboto" w:cs="Roboto" w:eastAsia="Roboto" w:hAnsi="Roboto"/>
          <w:i w:val="1"/>
          <w:color w:val="999999"/>
          <w:sz w:val="16"/>
          <w:szCs w:val="16"/>
          <w:rtl w:val="0"/>
        </w:rPr>
        <w:t xml:space="preserve">60</w:t>
      </w:r>
      <w:r w:rsidDel="00000000" w:rsidR="00000000" w:rsidRPr="00000000">
        <w:rPr>
          <w:rFonts w:ascii="Roboto" w:cs="Roboto" w:eastAsia="Roboto" w:hAnsi="Roboto"/>
          <w:color w:val="999999"/>
          <w:sz w:val="16"/>
          <w:szCs w:val="16"/>
          <w:rtl w:val="0"/>
        </w:rPr>
        <w:t xml:space="preserve">(2), 182-191. doi:10.1097/mpg.0000000000000595</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Gene Regulation in Eukaryotes</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-95241</wp:posOffset>
          </wp:positionV>
          <wp:extent cx="997117" cy="242888"/>
          <wp:effectExtent b="0" l="0" r="0" t="0"/>
          <wp:wrapSquare wrapText="bothSides" distB="114300" distT="114300" distL="114300" distR="114300"/>
          <wp:docPr id="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Gene Regulation in Eukaryotes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-95241</wp:posOffset>
          </wp:positionV>
          <wp:extent cx="997117" cy="242888"/>
          <wp:effectExtent b="0" l="0" r="0" t="0"/>
          <wp:wrapSquare wrapText="bothSides" distB="114300" distT="114300" distL="114300" distR="114300"/>
          <wp:docPr id="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wp:posOffset>
          </wp:positionH>
          <wp:positionV relativeFrom="paragraph">
            <wp:posOffset>-19042</wp:posOffset>
          </wp:positionV>
          <wp:extent cx="1843088" cy="915099"/>
          <wp:effectExtent b="0" l="0" r="0" t="0"/>
          <wp:wrapSquare wrapText="bothSides" distB="114300" distT="114300" distL="114300" distR="114300"/>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i w:val="1"/>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www.youtube.com/watch?v=PTKF1hpmcW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M/3Mo86Qcsy5GHjUuZDUd6+Uxg==">AMUW2mXLpoI1O4ns845RJJkPWfXGW1ll8K8SR9E5L1DvB9orf4MEH7ZZgbcIl0BoDeI0Ng37hyKlE2c0/4Tdgly/WwgJ0qWCV04zL4E0huyZcKuAZhLZHYio3tc8h3KaCCktp7lZO1jJClzbx3Hk/D0l6eDSRNNzPQJJdvSfnpJnocqrQLBTrihZ79o042T9gpQgNdhIYFL1sg5+HSCMWsMEfX2Jo9kBNq/AkoC21p7c6/hdpgvxmzWxzoAO0GeBAnvUVo9M7vMK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