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425"/>
        <w:gridCol w:w="705"/>
        <w:gridCol w:w="1470"/>
        <w:gridCol w:w="555"/>
        <w:gridCol w:w="1830"/>
        <w:tblGridChange w:id="0">
          <w:tblGrid>
            <w:gridCol w:w="1170"/>
            <w:gridCol w:w="4425"/>
            <w:gridCol w:w="705"/>
            <w:gridCol w:w="1470"/>
            <w:gridCol w:w="555"/>
            <w:gridCol w:w="1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5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Period]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Roboto" w:cs="Roboto" w:eastAsia="Roboto" w:hAnsi="Robot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Temperature and pH Accepted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rFonts w:ascii="Roboto" w:cs="Roboto" w:eastAsia="Roboto" w:hAnsi="Roboto"/>
          <w:i w:val="1"/>
          <w:color w:val="0b5394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0b5394"/>
          <w:sz w:val="32"/>
          <w:szCs w:val="32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Because every part of our body has a different function, it has ideal temperature and pH levels.  Use the provided information to determine where the lactase enzyme works best.</w:t>
      </w:r>
    </w:p>
    <w:p w:rsidR="00000000" w:rsidDel="00000000" w:rsidP="00000000" w:rsidRDefault="00000000" w:rsidRPr="00000000" w14:paraId="0000000F">
      <w:pPr>
        <w:pStyle w:val="Heading2"/>
        <w:rPr>
          <w:rFonts w:ascii="Roboto" w:cs="Roboto" w:eastAsia="Roboto" w:hAnsi="Roboto"/>
          <w:color w:val="0b5394"/>
          <w:sz w:val="28"/>
          <w:szCs w:val="28"/>
        </w:rPr>
      </w:pPr>
      <w:bookmarkStart w:colFirst="0" w:colLast="0" w:name="_heading=h.enmiqtingi9b" w:id="2"/>
      <w:bookmarkEnd w:id="2"/>
      <w:r w:rsidDel="00000000" w:rsidR="00000000" w:rsidRPr="00000000">
        <w:rPr>
          <w:rFonts w:ascii="Roboto" w:cs="Roboto" w:eastAsia="Roboto" w:hAnsi="Roboto"/>
          <w:color w:val="0b5394"/>
          <w:sz w:val="28"/>
          <w:szCs w:val="28"/>
          <w:rtl w:val="0"/>
        </w:rPr>
        <w:t xml:space="preserve">Temperature Data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Normal human body temperature is typically stated as 36.5-37.5 °C (97.7-99.5°F).  Use the image below to see how the body temperature differs throughout the body.  </w:t>
      </w:r>
    </w:p>
    <w:p w:rsidR="00000000" w:rsidDel="00000000" w:rsidP="00000000" w:rsidRDefault="00000000" w:rsidRPr="00000000" w14:paraId="00000011">
      <w:pPr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</w:rPr>
        <w:drawing>
          <wp:inline distB="114300" distT="114300" distL="114300" distR="114300">
            <wp:extent cx="3762375" cy="3577076"/>
            <wp:effectExtent b="0" l="0" r="0" t="0"/>
            <wp:docPr id="4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77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4546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44546a"/>
          <w:sz w:val="18"/>
          <w:szCs w:val="18"/>
          <w:rtl w:val="0"/>
        </w:rPr>
        <w:t xml:space="preserve">Illustration of body temperature in the human body. a) In cold environments, the area preserved at 37°C contracts and the shell area expands. b) The body volume preserved at 37°C expands. The concepts presented here are generalizations; a number of variables, such as gender, age, and individual difference can affect the temperature distribution.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4546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i w:val="1"/>
          <w:color w:val="44546a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color w:val="44546a"/>
          <w:sz w:val="16"/>
          <w:szCs w:val="16"/>
          <w:rtl w:val="0"/>
        </w:rPr>
        <w:t xml:space="preserve">Data from White, M. D., Bosio, C. M., Duplantis, B. N., &amp; Nano, F. E. (2011). Human body temperature and new approaches to constructing temperature-sensitive bacterial vaccines. Cellular and Molecular Life Sciences, 68(18), 3019–3031. https://doi.org/10.1007/s00018-011-0734-2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heading=h.xsoo5odcxxyg" w:id="3"/>
      <w:bookmarkEnd w:id="3"/>
      <w:r w:rsidDel="00000000" w:rsidR="00000000" w:rsidRPr="00000000">
        <w:rPr>
          <w:rtl w:val="0"/>
        </w:rPr>
        <w:t xml:space="preserve">pH Data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pH of the digestive system varies greatly.  Below shows the average pH through different gastrointestinal organs/regions.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3581400"/>
            <wp:effectExtent b="0" l="0" r="0" t="0"/>
            <wp:docPr id="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Roboto" w:cs="Roboto" w:eastAsia="Roboto" w:hAnsi="Roboto"/>
          <w:i w:val="1"/>
          <w:color w:val="44546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color w:val="44546a"/>
          <w:sz w:val="18"/>
          <w:szCs w:val="18"/>
          <w:rtl w:val="0"/>
        </w:rPr>
        <w:t xml:space="preserve">Average pH through different gastrointestinal organs.  Numbers each represent a different organ or organ part. (1) mouth, (2) stomach, (3) proximal small intestine, (4) mid small intestine, (5) distal small intestine, (6) colon. 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Roboto" w:cs="Roboto" w:eastAsia="Roboto" w:hAnsi="Roboto"/>
          <w:i w:val="1"/>
          <w:color w:val="44546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Roboto" w:cs="Roboto" w:eastAsia="Roboto" w:hAnsi="Roboto"/>
          <w:i w:val="1"/>
          <w:color w:val="44546a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color w:val="44546a"/>
          <w:sz w:val="16"/>
          <w:szCs w:val="16"/>
          <w:rtl w:val="0"/>
        </w:rPr>
        <w:t xml:space="preserve">Data adapted from the following: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Roboto" w:cs="Roboto" w:eastAsia="Roboto" w:hAnsi="Roboto"/>
          <w:color w:val="44546a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color w:val="44546a"/>
          <w:sz w:val="16"/>
          <w:szCs w:val="16"/>
          <w:rtl w:val="0"/>
        </w:rPr>
        <w:t xml:space="preserve"> Ibekwe, V. C., Fadda, H. M., McConnell, E. L., Khela, M. K., Evans, D. F., &amp; Basit, A. W. (2008). Interplay Between Intestinal pH, Transit Time and Feed Status on the In Vivo Performance of pH Responsive Ileo-Colonic Release Systems. Pharmaceutical Research, 25(8), 1828–1835.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16"/>
            <w:szCs w:val="16"/>
            <w:u w:val="single"/>
            <w:rtl w:val="0"/>
          </w:rPr>
          <w:t xml:space="preserve">https://doi.org/10.1007/s11095-008-9580-9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0" w:firstLine="0"/>
        <w:rPr>
          <w:rFonts w:ascii="Roboto" w:cs="Roboto" w:eastAsia="Roboto" w:hAnsi="Roboto"/>
          <w:color w:val="44546a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color w:val="44546a"/>
          <w:sz w:val="16"/>
          <w:szCs w:val="16"/>
          <w:rtl w:val="0"/>
        </w:rPr>
        <w:t xml:space="preserve">Bibby, B. G., Mundorff, S. A., Zero, D. T., &amp; Almekinder, K. J. (1986). Oral food clearance and the pH of plaque and saliva. The Journal of the American Dental Association, 112(3), 333–337.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16"/>
            <w:szCs w:val="16"/>
            <w:u w:val="single"/>
            <w:rtl w:val="0"/>
          </w:rPr>
          <w:t xml:space="preserve">https://doi.org/10.1016/s0002-8177(86)23012-3</w:t>
        </w:r>
      </w:hyperlink>
      <w:r w:rsidDel="00000000" w:rsidR="00000000" w:rsidRPr="00000000">
        <w:rPr>
          <w:rFonts w:ascii="Roboto" w:cs="Roboto" w:eastAsia="Roboto" w:hAnsi="Roboto"/>
          <w:color w:val="44546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Temperature and pH Accepted Values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-95237</wp:posOffset>
          </wp:positionV>
          <wp:extent cx="997117" cy="242888"/>
          <wp:effectExtent b="0" l="0" r="0" t="0"/>
          <wp:wrapSquare wrapText="bothSides" distB="114300" distT="114300" distL="114300" distR="11430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 :  Temperature and pH Accepted Values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-95237</wp:posOffset>
          </wp:positionV>
          <wp:extent cx="997117" cy="242888"/>
          <wp:effectExtent b="0" l="0" r="0" t="0"/>
          <wp:wrapSquare wrapText="bothSides" distB="114300" distT="114300" distL="114300" distR="11430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</wp:posOffset>
          </wp:positionH>
          <wp:positionV relativeFrom="paragraph">
            <wp:posOffset>-19039</wp:posOffset>
          </wp:positionV>
          <wp:extent cx="1843088" cy="915099"/>
          <wp:effectExtent b="0" l="0" r="0" t="0"/>
          <wp:wrapSquare wrapText="bothSides" distB="114300" distT="114300" distL="114300" distR="114300"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" w:cs="Roboto" w:eastAsia="Roboto" w:hAnsi="Roboto"/>
      <w:i w:val="1"/>
      <w:color w:val="0b539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doi.org/10.1016/s0002-8177(86)23012-3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07/s11095-008-9580-9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FQsqvyeAoGI2DAmTH4xXiPQ5+g==">AMUW2mWISSgDxFvZSsyTOISIjTBdjOW2CLw8KoGaJaeRgpESYuusV6SyJG/7GR6RdyEw4x4Jmeb/askLBVpRuWRbX/5Vbacz9NqKI3o8Qe/ssoDThOmM5t/hM7T3TdKLZwwOHqeN1MfGtTD7hlc9iWZqUOaXQ7jZOfHfgAanBSKTHLu/1hLKcdo=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